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5594E" w14:textId="77777777" w:rsidR="00E36B76" w:rsidRPr="00E36B76" w:rsidRDefault="00C74361" w:rsidP="00E36B76">
      <w:pPr>
        <w:pStyle w:val="Heading2"/>
        <w:jc w:val="center"/>
        <w:rPr>
          <w:color w:val="auto"/>
        </w:rPr>
      </w:pPr>
      <w:r>
        <w:rPr>
          <w:color w:val="auto"/>
        </w:rPr>
        <w:t xml:space="preserve">Mt. SAC </w:t>
      </w:r>
      <w:r w:rsidR="00E36B76" w:rsidRPr="00E36B76">
        <w:rPr>
          <w:color w:val="auto"/>
        </w:rPr>
        <w:t>Academic Senate</w:t>
      </w:r>
    </w:p>
    <w:p w14:paraId="775FC46C" w14:textId="77777777" w:rsidR="006F7809" w:rsidRPr="00444A12" w:rsidRDefault="00E36B76" w:rsidP="7627B11B">
      <w:pPr>
        <w:pStyle w:val="Heading1"/>
        <w:spacing w:before="0"/>
        <w:jc w:val="center"/>
        <w:rPr>
          <w:b/>
          <w:bCs/>
          <w:sz w:val="28"/>
          <w:szCs w:val="28"/>
        </w:rPr>
      </w:pPr>
      <w:r w:rsidRPr="7627B11B">
        <w:rPr>
          <w:b/>
          <w:bCs/>
          <w:sz w:val="28"/>
          <w:szCs w:val="28"/>
        </w:rPr>
        <w:t>Regular and Effective Contact Task Force</w:t>
      </w:r>
    </w:p>
    <w:p w14:paraId="2FFF6131" w14:textId="77777777" w:rsidR="00E36B76" w:rsidRDefault="00E36B76" w:rsidP="7627B11B">
      <w:pPr>
        <w:pStyle w:val="Heading1"/>
        <w:spacing w:before="0"/>
        <w:jc w:val="center"/>
        <w:rPr>
          <w:b/>
          <w:bCs/>
          <w:sz w:val="28"/>
          <w:szCs w:val="28"/>
        </w:rPr>
      </w:pPr>
      <w:r w:rsidRPr="7627B11B">
        <w:rPr>
          <w:b/>
          <w:bCs/>
          <w:sz w:val="28"/>
          <w:szCs w:val="28"/>
        </w:rPr>
        <w:t>Final Summary</w:t>
      </w:r>
    </w:p>
    <w:p w14:paraId="73405550" w14:textId="5827E8C9" w:rsidR="00E36B76" w:rsidRPr="00E36B76" w:rsidRDefault="00444A12" w:rsidP="7627B11B">
      <w:pPr>
        <w:jc w:val="center"/>
        <w:rPr>
          <w:rFonts w:asciiTheme="minorHAnsi" w:hAnsiTheme="minorHAnsi" w:cstheme="minorBidi"/>
        </w:rPr>
      </w:pPr>
      <w:r w:rsidRPr="7627B11B">
        <w:rPr>
          <w:rFonts w:asciiTheme="minorHAnsi" w:hAnsiTheme="minorHAnsi" w:cstheme="minorBidi"/>
        </w:rPr>
        <w:t xml:space="preserve">October </w:t>
      </w:r>
      <w:r w:rsidR="49B22DE8" w:rsidRPr="7627B11B">
        <w:rPr>
          <w:rFonts w:asciiTheme="minorHAnsi" w:hAnsiTheme="minorHAnsi" w:cstheme="minorBidi"/>
        </w:rPr>
        <w:t>1</w:t>
      </w:r>
      <w:r w:rsidR="43AE68CF" w:rsidRPr="7627B11B">
        <w:rPr>
          <w:rFonts w:asciiTheme="minorHAnsi" w:hAnsiTheme="minorHAnsi" w:cstheme="minorBidi"/>
        </w:rPr>
        <w:t>7</w:t>
      </w:r>
      <w:r w:rsidRPr="7627B11B">
        <w:rPr>
          <w:rFonts w:asciiTheme="minorHAnsi" w:hAnsiTheme="minorHAnsi" w:cstheme="minorBidi"/>
        </w:rPr>
        <w:t>, 2019</w:t>
      </w:r>
    </w:p>
    <w:p w14:paraId="0615C6F7" w14:textId="77777777" w:rsidR="00E36B76" w:rsidRPr="00E36B76" w:rsidRDefault="00E36B76" w:rsidP="00E36B76">
      <w:pPr>
        <w:pStyle w:val="Heading2"/>
        <w:jc w:val="center"/>
        <w:rPr>
          <w:color w:val="auto"/>
        </w:rPr>
      </w:pPr>
    </w:p>
    <w:p w14:paraId="25CB4464" w14:textId="3D33C85F" w:rsidR="00E36B76" w:rsidRDefault="00E36B76" w:rsidP="1E7F07F1">
      <w:pPr>
        <w:pStyle w:val="Heading2"/>
        <w:jc w:val="center"/>
        <w:rPr>
          <w:b/>
          <w:bCs/>
          <w:color w:val="auto"/>
        </w:rPr>
      </w:pPr>
      <w:r w:rsidRPr="1E7F07F1">
        <w:rPr>
          <w:b/>
          <w:bCs/>
          <w:color w:val="auto"/>
        </w:rPr>
        <w:t>Purpose and Function Statement</w:t>
      </w:r>
    </w:p>
    <w:p w14:paraId="7349A044" w14:textId="77777777" w:rsidR="00E36B76" w:rsidRPr="00E36B76" w:rsidRDefault="00E36B76" w:rsidP="00E36B76">
      <w:pPr>
        <w:pStyle w:val="Heading1"/>
        <w:shd w:val="clear" w:color="auto" w:fill="FFFFFF"/>
        <w:spacing w:before="90" w:after="90"/>
        <w:rPr>
          <w:rFonts w:asciiTheme="minorHAnsi" w:hAnsiTheme="minorHAnsi" w:cstheme="minorHAnsi"/>
          <w:color w:val="2D3B45"/>
          <w:sz w:val="24"/>
          <w:szCs w:val="24"/>
        </w:rPr>
      </w:pPr>
      <w:r w:rsidRPr="00E36B76">
        <w:rPr>
          <w:rFonts w:asciiTheme="minorHAnsi" w:hAnsiTheme="minorHAnsi" w:cstheme="minorHAnsi"/>
          <w:b/>
          <w:bCs/>
          <w:color w:val="2D3B45"/>
          <w:sz w:val="24"/>
          <w:szCs w:val="24"/>
        </w:rPr>
        <w:t>The purpose and function of the REC Task Force is to:</w:t>
      </w:r>
    </w:p>
    <w:p w14:paraId="6A9643DE" w14:textId="77777777" w:rsidR="00E36B76" w:rsidRPr="00E36B76" w:rsidRDefault="00E36B76" w:rsidP="00E36B76">
      <w:pPr>
        <w:numPr>
          <w:ilvl w:val="0"/>
          <w:numId w:val="6"/>
        </w:numPr>
        <w:shd w:val="clear" w:color="auto" w:fill="FFFFFF"/>
        <w:spacing w:before="100" w:beforeAutospacing="1" w:after="100" w:afterAutospacing="1"/>
        <w:ind w:left="375"/>
        <w:rPr>
          <w:rFonts w:asciiTheme="minorHAnsi" w:hAnsiTheme="minorHAnsi" w:cstheme="minorHAnsi"/>
          <w:color w:val="2D3B45"/>
        </w:rPr>
      </w:pPr>
      <w:r w:rsidRPr="00E36B76">
        <w:rPr>
          <w:rFonts w:asciiTheme="minorHAnsi" w:hAnsiTheme="minorHAnsi" w:cstheme="minorHAnsi"/>
          <w:color w:val="2D3B45"/>
        </w:rPr>
        <w:t>Review relevant federal and state laws and regulations and accreditation standards on regular and effective contact (or its substantial equivalent) for distance learning courses taught at Mt. SAC.</w:t>
      </w:r>
    </w:p>
    <w:p w14:paraId="21B67C88" w14:textId="77777777" w:rsidR="00E36B76" w:rsidRPr="00E36B76" w:rsidRDefault="00E36B76" w:rsidP="00E36B76">
      <w:pPr>
        <w:numPr>
          <w:ilvl w:val="0"/>
          <w:numId w:val="6"/>
        </w:numPr>
        <w:shd w:val="clear" w:color="auto" w:fill="FFFFFF"/>
        <w:spacing w:before="100" w:beforeAutospacing="1" w:after="100" w:afterAutospacing="1"/>
        <w:ind w:left="375"/>
        <w:rPr>
          <w:rFonts w:asciiTheme="minorHAnsi" w:hAnsiTheme="minorHAnsi" w:cstheme="minorHAnsi"/>
          <w:color w:val="2D3B45"/>
        </w:rPr>
      </w:pPr>
      <w:r w:rsidRPr="00E36B76">
        <w:rPr>
          <w:rFonts w:asciiTheme="minorHAnsi" w:hAnsiTheme="minorHAnsi" w:cstheme="minorHAnsi"/>
          <w:color w:val="2D3B45"/>
        </w:rPr>
        <w:t>Provide recommendations on how regular and effective contact should be defined on the campus.</w:t>
      </w:r>
    </w:p>
    <w:p w14:paraId="70D441EC" w14:textId="77777777" w:rsidR="00E36B76" w:rsidRPr="00E36B76" w:rsidRDefault="00E36B76" w:rsidP="00E36B76">
      <w:pPr>
        <w:numPr>
          <w:ilvl w:val="0"/>
          <w:numId w:val="6"/>
        </w:numPr>
        <w:shd w:val="clear" w:color="auto" w:fill="FFFFFF"/>
        <w:spacing w:before="100" w:beforeAutospacing="1" w:after="100" w:afterAutospacing="1"/>
        <w:ind w:left="375"/>
        <w:rPr>
          <w:rFonts w:asciiTheme="minorHAnsi" w:hAnsiTheme="minorHAnsi" w:cstheme="minorHAnsi"/>
          <w:color w:val="2D3B45"/>
        </w:rPr>
      </w:pPr>
      <w:r w:rsidRPr="00E36B76">
        <w:rPr>
          <w:rFonts w:asciiTheme="minorHAnsi" w:hAnsiTheme="minorHAnsi" w:cstheme="minorHAnsi"/>
          <w:color w:val="2D3B45"/>
        </w:rPr>
        <w:t>Create a rubric that identifies regular and effect contact (per Article 13</w:t>
      </w:r>
      <w:r w:rsidR="00C74361">
        <w:rPr>
          <w:rFonts w:asciiTheme="minorHAnsi" w:hAnsiTheme="minorHAnsi" w:cstheme="minorHAnsi"/>
          <w:color w:val="2D3B45"/>
        </w:rPr>
        <w:t>A.4</w:t>
      </w:r>
      <w:r w:rsidRPr="00E36B76">
        <w:rPr>
          <w:rFonts w:asciiTheme="minorHAnsi" w:hAnsiTheme="minorHAnsi" w:cstheme="minorHAnsi"/>
          <w:color w:val="2D3B45"/>
        </w:rPr>
        <w:t>).</w:t>
      </w:r>
    </w:p>
    <w:p w14:paraId="19F1F6BE" w14:textId="77777777" w:rsidR="00E36B76" w:rsidRDefault="00E36B76" w:rsidP="00E36B76">
      <w:pPr>
        <w:numPr>
          <w:ilvl w:val="0"/>
          <w:numId w:val="6"/>
        </w:numPr>
        <w:shd w:val="clear" w:color="auto" w:fill="FFFFFF"/>
        <w:spacing w:before="100" w:beforeAutospacing="1" w:after="100" w:afterAutospacing="1"/>
        <w:ind w:left="375"/>
        <w:rPr>
          <w:rFonts w:asciiTheme="minorHAnsi" w:hAnsiTheme="minorHAnsi" w:cstheme="minorHAnsi"/>
          <w:color w:val="2D3B45"/>
        </w:rPr>
      </w:pPr>
      <w:r w:rsidRPr="00E36B76">
        <w:rPr>
          <w:rFonts w:asciiTheme="minorHAnsi" w:hAnsiTheme="minorHAnsi" w:cstheme="minorHAnsi"/>
          <w:color w:val="2D3B45"/>
        </w:rPr>
        <w:t>Provide recommendations on any required changes to existing Board Policies and Administrative Procedures (specifically AP 4105) so as to memorialize that definition and recommendations.</w:t>
      </w:r>
    </w:p>
    <w:p w14:paraId="7293A22C" w14:textId="77777777" w:rsidR="00E36B76" w:rsidRDefault="00E36B76" w:rsidP="00E36B76">
      <w:pPr>
        <w:numPr>
          <w:ilvl w:val="0"/>
          <w:numId w:val="6"/>
        </w:numPr>
        <w:shd w:val="clear" w:color="auto" w:fill="FFFFFF"/>
        <w:spacing w:before="100" w:beforeAutospacing="1" w:after="100" w:afterAutospacing="1"/>
        <w:ind w:left="375"/>
        <w:rPr>
          <w:rFonts w:asciiTheme="minorHAnsi" w:hAnsiTheme="minorHAnsi" w:cstheme="minorHAnsi"/>
          <w:color w:val="2D3B45"/>
        </w:rPr>
      </w:pPr>
      <w:r>
        <w:rPr>
          <w:rFonts w:asciiTheme="minorHAnsi" w:hAnsiTheme="minorHAnsi" w:cstheme="minorHAnsi"/>
          <w:color w:val="2D3B45"/>
        </w:rPr>
        <w:t>Suggest a process for deployment and use of the REC rubric.*</w:t>
      </w:r>
    </w:p>
    <w:p w14:paraId="2D5780FA" w14:textId="1E988791" w:rsidR="00E36B76" w:rsidRPr="00D51FD4" w:rsidRDefault="00624FA7" w:rsidP="00E36B76">
      <w:pPr>
        <w:pStyle w:val="ListParagraph"/>
        <w:numPr>
          <w:ilvl w:val="1"/>
          <w:numId w:val="8"/>
        </w:numPr>
        <w:shd w:val="clear" w:color="auto" w:fill="FFFFFF"/>
        <w:spacing w:before="100" w:beforeAutospacing="1" w:after="100" w:afterAutospacing="1"/>
        <w:rPr>
          <w:rFonts w:asciiTheme="minorHAnsi" w:hAnsiTheme="minorHAnsi" w:cstheme="minorHAnsi"/>
          <w:color w:val="2D3B45"/>
        </w:rPr>
      </w:pPr>
      <w:r>
        <w:rPr>
          <w:rFonts w:asciiTheme="minorHAnsi" w:hAnsiTheme="minorHAnsi" w:cstheme="minorHAnsi"/>
          <w:color w:val="2D3B45"/>
        </w:rPr>
        <w:t>This</w:t>
      </w:r>
      <w:r w:rsidR="00E36B76">
        <w:rPr>
          <w:rFonts w:asciiTheme="minorHAnsi" w:hAnsiTheme="minorHAnsi" w:cstheme="minorHAnsi"/>
          <w:color w:val="2D3B45"/>
        </w:rPr>
        <w:t xml:space="preserve"> purpose statement was </w:t>
      </w:r>
      <w:r w:rsidR="005A7000">
        <w:rPr>
          <w:rFonts w:asciiTheme="minorHAnsi" w:hAnsiTheme="minorHAnsi" w:cstheme="minorHAnsi"/>
          <w:color w:val="2D3B45"/>
        </w:rPr>
        <w:t>adopt</w:t>
      </w:r>
      <w:r w:rsidR="00E36B76">
        <w:rPr>
          <w:rFonts w:asciiTheme="minorHAnsi" w:hAnsiTheme="minorHAnsi" w:cstheme="minorHAnsi"/>
          <w:color w:val="2D3B45"/>
        </w:rPr>
        <w:t xml:space="preserve">ed on May 8 </w:t>
      </w:r>
      <w:r w:rsidR="005A7000">
        <w:rPr>
          <w:rFonts w:asciiTheme="minorHAnsi" w:hAnsiTheme="minorHAnsi" w:cstheme="minorHAnsi"/>
          <w:color w:val="2D3B45"/>
        </w:rPr>
        <w:t>after consultation with</w:t>
      </w:r>
      <w:r w:rsidR="00C848A7">
        <w:rPr>
          <w:rFonts w:asciiTheme="minorHAnsi" w:hAnsiTheme="minorHAnsi" w:cstheme="minorHAnsi"/>
          <w:color w:val="2D3B45"/>
        </w:rPr>
        <w:t xml:space="preserve"> Eric Kaljumagi and </w:t>
      </w:r>
      <w:proofErr w:type="spellStart"/>
      <w:r w:rsidR="00C848A7">
        <w:rPr>
          <w:rFonts w:asciiTheme="minorHAnsi" w:hAnsiTheme="minorHAnsi" w:cstheme="minorHAnsi"/>
          <w:color w:val="2D3B45"/>
        </w:rPr>
        <w:t>Chisa</w:t>
      </w:r>
      <w:proofErr w:type="spellEnd"/>
      <w:r w:rsidR="00C848A7">
        <w:rPr>
          <w:rFonts w:asciiTheme="minorHAnsi" w:hAnsiTheme="minorHAnsi" w:cstheme="minorHAnsi"/>
          <w:color w:val="2D3B45"/>
        </w:rPr>
        <w:t xml:space="preserve"> Uyeki, </w:t>
      </w:r>
      <w:r w:rsidR="005866CC">
        <w:rPr>
          <w:rFonts w:asciiTheme="minorHAnsi" w:hAnsiTheme="minorHAnsi" w:cstheme="minorHAnsi"/>
          <w:color w:val="2D3B45"/>
        </w:rPr>
        <w:t>and</w:t>
      </w:r>
      <w:r w:rsidR="00383625">
        <w:rPr>
          <w:rFonts w:asciiTheme="minorHAnsi" w:hAnsiTheme="minorHAnsi" w:cstheme="minorHAnsi"/>
          <w:color w:val="2D3B45"/>
        </w:rPr>
        <w:t xml:space="preserve"> amended after consultation with the district </w:t>
      </w:r>
      <w:r w:rsidR="00D51FD4">
        <w:rPr>
          <w:rFonts w:asciiTheme="minorHAnsi" w:hAnsiTheme="minorHAnsi" w:cstheme="minorHAnsi"/>
          <w:color w:val="2D3B45"/>
        </w:rPr>
        <w:t xml:space="preserve">and FA over </w:t>
      </w:r>
      <w:r w:rsidR="004053F0">
        <w:rPr>
          <w:rFonts w:asciiTheme="minorHAnsi" w:hAnsiTheme="minorHAnsi" w:cstheme="minorHAnsi"/>
          <w:color w:val="2D3B45"/>
        </w:rPr>
        <w:t>summer 2019.</w:t>
      </w:r>
    </w:p>
    <w:p w14:paraId="10FBAFEB" w14:textId="77777777" w:rsidR="00E36B76" w:rsidRPr="00E36B76" w:rsidRDefault="00E36B76" w:rsidP="00E36B76"/>
    <w:p w14:paraId="22988D95" w14:textId="77777777" w:rsidR="00E36B76" w:rsidRPr="00E36B76" w:rsidRDefault="00E36B76" w:rsidP="00E36B76">
      <w:pPr>
        <w:pStyle w:val="Heading2"/>
        <w:jc w:val="center"/>
        <w:rPr>
          <w:b/>
          <w:color w:val="auto"/>
        </w:rPr>
      </w:pPr>
      <w:r w:rsidRPr="00E36B76">
        <w:rPr>
          <w:b/>
          <w:color w:val="auto"/>
        </w:rPr>
        <w:t xml:space="preserve">Membership </w:t>
      </w:r>
    </w:p>
    <w:p w14:paraId="517C6458" w14:textId="77777777" w:rsidR="00E36B76" w:rsidRDefault="005A7000" w:rsidP="005A7000">
      <w:pPr>
        <w:pStyle w:val="Heading2"/>
        <w:rPr>
          <w:rFonts w:asciiTheme="minorHAnsi" w:hAnsiTheme="minorHAnsi" w:cstheme="minorHAnsi"/>
          <w:color w:val="auto"/>
          <w:sz w:val="24"/>
          <w:szCs w:val="24"/>
        </w:rPr>
      </w:pPr>
      <w:r>
        <w:rPr>
          <w:rFonts w:asciiTheme="minorHAnsi" w:hAnsiTheme="minorHAnsi" w:cstheme="minorHAnsi"/>
          <w:color w:val="auto"/>
          <w:sz w:val="24"/>
          <w:szCs w:val="24"/>
        </w:rPr>
        <w:t>Carol Impara (CSDT, chair)</w:t>
      </w:r>
    </w:p>
    <w:p w14:paraId="2C226E4B" w14:textId="77777777" w:rsidR="005A7000" w:rsidRDefault="005A7000" w:rsidP="005A7000">
      <w:pPr>
        <w:rPr>
          <w:rFonts w:asciiTheme="minorHAnsi" w:hAnsiTheme="minorHAnsi" w:cstheme="minorHAnsi"/>
        </w:rPr>
      </w:pPr>
      <w:r w:rsidRPr="005A7000">
        <w:rPr>
          <w:rFonts w:asciiTheme="minorHAnsi" w:hAnsiTheme="minorHAnsi" w:cstheme="minorHAnsi"/>
        </w:rPr>
        <w:t>Ha</w:t>
      </w:r>
      <w:r>
        <w:rPr>
          <w:rFonts w:asciiTheme="minorHAnsi" w:hAnsiTheme="minorHAnsi" w:cstheme="minorHAnsi"/>
        </w:rPr>
        <w:t>nsel Alvarez (English)</w:t>
      </w:r>
    </w:p>
    <w:p w14:paraId="3FEE036B" w14:textId="77777777" w:rsidR="005A7000" w:rsidRDefault="005A7000" w:rsidP="005A7000">
      <w:pPr>
        <w:rPr>
          <w:rFonts w:asciiTheme="minorHAnsi" w:hAnsiTheme="minorHAnsi" w:cstheme="minorHAnsi"/>
        </w:rPr>
      </w:pPr>
      <w:r>
        <w:rPr>
          <w:rFonts w:asciiTheme="minorHAnsi" w:hAnsiTheme="minorHAnsi" w:cstheme="minorHAnsi"/>
        </w:rPr>
        <w:t>Terri Beam (Chemistry)</w:t>
      </w:r>
    </w:p>
    <w:p w14:paraId="29060759" w14:textId="77777777" w:rsidR="005A7000" w:rsidRDefault="005A7000" w:rsidP="005A7000">
      <w:pPr>
        <w:rPr>
          <w:rFonts w:asciiTheme="minorHAnsi" w:hAnsiTheme="minorHAnsi" w:cstheme="minorHAnsi"/>
        </w:rPr>
      </w:pPr>
      <w:r>
        <w:rPr>
          <w:rFonts w:asciiTheme="minorHAnsi" w:hAnsiTheme="minorHAnsi" w:cstheme="minorHAnsi"/>
        </w:rPr>
        <w:t>Mike Dowdle (Psychology)</w:t>
      </w:r>
    </w:p>
    <w:p w14:paraId="6754B540" w14:textId="77777777" w:rsidR="005A7000" w:rsidRDefault="005A7000" w:rsidP="005A7000">
      <w:pPr>
        <w:rPr>
          <w:rFonts w:asciiTheme="minorHAnsi" w:hAnsiTheme="minorHAnsi" w:cstheme="minorHAnsi"/>
        </w:rPr>
      </w:pPr>
      <w:r>
        <w:rPr>
          <w:rFonts w:asciiTheme="minorHAnsi" w:hAnsiTheme="minorHAnsi" w:cstheme="minorHAnsi"/>
        </w:rPr>
        <w:t>Ed Estes (Real Estate)</w:t>
      </w:r>
    </w:p>
    <w:p w14:paraId="37BA42E0" w14:textId="77777777" w:rsidR="005A7000" w:rsidRDefault="005A7000" w:rsidP="005A7000">
      <w:pPr>
        <w:rPr>
          <w:rFonts w:asciiTheme="minorHAnsi" w:hAnsiTheme="minorHAnsi" w:cstheme="minorHAnsi"/>
        </w:rPr>
      </w:pPr>
      <w:r>
        <w:rPr>
          <w:rFonts w:asciiTheme="minorHAnsi" w:hAnsiTheme="minorHAnsi" w:cstheme="minorHAnsi"/>
        </w:rPr>
        <w:t>Hong Guo (Library)</w:t>
      </w:r>
    </w:p>
    <w:p w14:paraId="7FA4510E" w14:textId="77777777" w:rsidR="005A7000" w:rsidRDefault="005A7000" w:rsidP="005A7000">
      <w:pPr>
        <w:rPr>
          <w:rFonts w:asciiTheme="minorHAnsi" w:hAnsiTheme="minorHAnsi" w:cstheme="minorHAnsi"/>
        </w:rPr>
      </w:pPr>
      <w:r>
        <w:rPr>
          <w:rFonts w:asciiTheme="minorHAnsi" w:hAnsiTheme="minorHAnsi" w:cstheme="minorHAnsi"/>
        </w:rPr>
        <w:t>Dionne Loera-Ramirez (English)</w:t>
      </w:r>
    </w:p>
    <w:p w14:paraId="5DC68371" w14:textId="77777777" w:rsidR="005A7000" w:rsidRPr="005A7000" w:rsidRDefault="005A7000" w:rsidP="005A7000">
      <w:pPr>
        <w:rPr>
          <w:rFonts w:asciiTheme="minorHAnsi" w:hAnsiTheme="minorHAnsi" w:cstheme="minorHAnsi"/>
        </w:rPr>
      </w:pPr>
      <w:r>
        <w:rPr>
          <w:rFonts w:asciiTheme="minorHAnsi" w:hAnsiTheme="minorHAnsi" w:cstheme="minorHAnsi"/>
        </w:rPr>
        <w:t>Catherine McKee (Paralegal)</w:t>
      </w:r>
    </w:p>
    <w:p w14:paraId="23AD5B8C" w14:textId="77777777" w:rsidR="00E36B76" w:rsidRPr="00E36B76" w:rsidRDefault="00E36B76" w:rsidP="00E36B76"/>
    <w:p w14:paraId="44DECDA1" w14:textId="6FDF1358" w:rsidR="00E36B76" w:rsidRDefault="00E36B76" w:rsidP="1E7F07F1">
      <w:pPr>
        <w:pStyle w:val="Heading2"/>
        <w:jc w:val="center"/>
        <w:rPr>
          <w:b/>
          <w:bCs/>
          <w:color w:val="auto"/>
        </w:rPr>
      </w:pPr>
      <w:r w:rsidRPr="1E7F07F1">
        <w:rPr>
          <w:b/>
          <w:bCs/>
          <w:color w:val="auto"/>
        </w:rPr>
        <w:t>Methods of Consultation</w:t>
      </w:r>
    </w:p>
    <w:p w14:paraId="5BE82D3B" w14:textId="32DD7EAE" w:rsidR="00E36B76" w:rsidRPr="00444A12" w:rsidRDefault="00E36B76" w:rsidP="1E7F07F1">
      <w:pPr>
        <w:pStyle w:val="Heading2"/>
        <w:rPr>
          <w:rFonts w:asciiTheme="minorHAnsi" w:hAnsiTheme="minorHAnsi" w:cstheme="minorBidi"/>
          <w:color w:val="auto"/>
          <w:sz w:val="24"/>
          <w:szCs w:val="24"/>
        </w:rPr>
      </w:pPr>
      <w:r w:rsidRPr="1E7F07F1">
        <w:rPr>
          <w:rFonts w:asciiTheme="minorHAnsi" w:hAnsiTheme="minorHAnsi" w:cstheme="minorBidi"/>
          <w:color w:val="auto"/>
          <w:sz w:val="24"/>
          <w:szCs w:val="24"/>
        </w:rPr>
        <w:t xml:space="preserve">The Task Force met once in person, on March 13, </w:t>
      </w:r>
      <w:r w:rsidR="00383625" w:rsidRPr="1E7F07F1">
        <w:rPr>
          <w:rFonts w:asciiTheme="minorHAnsi" w:hAnsiTheme="minorHAnsi" w:cstheme="minorBidi"/>
          <w:color w:val="auto"/>
          <w:sz w:val="24"/>
          <w:szCs w:val="24"/>
        </w:rPr>
        <w:t xml:space="preserve">2019, </w:t>
      </w:r>
      <w:r w:rsidRPr="1E7F07F1">
        <w:rPr>
          <w:rFonts w:asciiTheme="minorHAnsi" w:hAnsiTheme="minorHAnsi" w:cstheme="minorBidi"/>
          <w:color w:val="auto"/>
          <w:sz w:val="24"/>
          <w:szCs w:val="24"/>
        </w:rPr>
        <w:t xml:space="preserve">and </w:t>
      </w:r>
      <w:r w:rsidR="00383625" w:rsidRPr="1E7F07F1">
        <w:rPr>
          <w:rFonts w:asciiTheme="minorHAnsi" w:hAnsiTheme="minorHAnsi" w:cstheme="minorBidi"/>
          <w:color w:val="auto"/>
          <w:sz w:val="24"/>
          <w:szCs w:val="24"/>
        </w:rPr>
        <w:t>six</w:t>
      </w:r>
      <w:r w:rsidRPr="1E7F07F1">
        <w:rPr>
          <w:rFonts w:asciiTheme="minorHAnsi" w:hAnsiTheme="minorHAnsi" w:cstheme="minorBidi"/>
          <w:color w:val="auto"/>
          <w:sz w:val="24"/>
          <w:szCs w:val="24"/>
        </w:rPr>
        <w:t xml:space="preserve"> times via </w:t>
      </w:r>
      <w:proofErr w:type="spellStart"/>
      <w:r w:rsidRPr="1E7F07F1">
        <w:rPr>
          <w:rFonts w:asciiTheme="minorHAnsi" w:hAnsiTheme="minorHAnsi" w:cstheme="minorBidi"/>
          <w:color w:val="auto"/>
          <w:sz w:val="24"/>
          <w:szCs w:val="24"/>
        </w:rPr>
        <w:t>ConferZoom</w:t>
      </w:r>
      <w:proofErr w:type="spellEnd"/>
      <w:r w:rsidR="00383625" w:rsidRPr="1E7F07F1">
        <w:rPr>
          <w:rFonts w:asciiTheme="minorHAnsi" w:hAnsiTheme="minorHAnsi" w:cstheme="minorBidi"/>
          <w:color w:val="auto"/>
          <w:sz w:val="24"/>
          <w:szCs w:val="24"/>
        </w:rPr>
        <w:t xml:space="preserve"> during </w:t>
      </w:r>
      <w:proofErr w:type="gramStart"/>
      <w:r w:rsidR="00383625" w:rsidRPr="1E7F07F1">
        <w:rPr>
          <w:rFonts w:asciiTheme="minorHAnsi" w:hAnsiTheme="minorHAnsi" w:cstheme="minorBidi"/>
          <w:color w:val="auto"/>
          <w:sz w:val="24"/>
          <w:szCs w:val="24"/>
        </w:rPr>
        <w:t>Spring</w:t>
      </w:r>
      <w:proofErr w:type="gramEnd"/>
      <w:r w:rsidR="00383625" w:rsidRPr="1E7F07F1">
        <w:rPr>
          <w:rFonts w:asciiTheme="minorHAnsi" w:hAnsiTheme="minorHAnsi" w:cstheme="minorBidi"/>
          <w:color w:val="auto"/>
          <w:sz w:val="24"/>
          <w:szCs w:val="24"/>
        </w:rPr>
        <w:t xml:space="preserve"> and Fall 2019</w:t>
      </w:r>
      <w:r w:rsidRPr="1E7F07F1">
        <w:rPr>
          <w:rFonts w:asciiTheme="minorHAnsi" w:hAnsiTheme="minorHAnsi" w:cstheme="minorBidi"/>
          <w:color w:val="auto"/>
          <w:sz w:val="24"/>
          <w:szCs w:val="24"/>
        </w:rPr>
        <w:t>.</w:t>
      </w:r>
      <w:r w:rsidR="00624FA7" w:rsidRPr="1E7F07F1">
        <w:rPr>
          <w:rFonts w:asciiTheme="minorHAnsi" w:hAnsiTheme="minorHAnsi" w:cstheme="minorBidi"/>
          <w:color w:val="auto"/>
          <w:sz w:val="24"/>
          <w:szCs w:val="24"/>
        </w:rPr>
        <w:t xml:space="preserve">  All meetings were scheduled for one hour, although </w:t>
      </w:r>
      <w:r w:rsidR="65BE028A" w:rsidRPr="1E7F07F1">
        <w:rPr>
          <w:rFonts w:asciiTheme="minorHAnsi" w:hAnsiTheme="minorHAnsi" w:cstheme="minorBidi"/>
          <w:color w:val="auto"/>
          <w:sz w:val="24"/>
          <w:szCs w:val="24"/>
        </w:rPr>
        <w:t xml:space="preserve">a </w:t>
      </w:r>
      <w:r w:rsidR="00624FA7" w:rsidRPr="1E7F07F1">
        <w:rPr>
          <w:rFonts w:asciiTheme="minorHAnsi" w:hAnsiTheme="minorHAnsi" w:cstheme="minorBidi"/>
          <w:color w:val="auto"/>
          <w:sz w:val="24"/>
          <w:szCs w:val="24"/>
        </w:rPr>
        <w:t xml:space="preserve">meeting ran long once.  Agenda, minutes, and all resources were included in the Canvas course shell created for the Task Force and made available to the Task Force about a week before the scheduled meeting.  </w:t>
      </w:r>
      <w:r w:rsidR="004053F0" w:rsidRPr="1E7F07F1">
        <w:rPr>
          <w:rFonts w:asciiTheme="minorHAnsi" w:hAnsiTheme="minorHAnsi" w:cstheme="minorBidi"/>
          <w:color w:val="auto"/>
          <w:sz w:val="24"/>
          <w:szCs w:val="24"/>
        </w:rPr>
        <w:t>Final approvals were made via email.</w:t>
      </w:r>
    </w:p>
    <w:p w14:paraId="751C0F4A" w14:textId="77777777" w:rsidR="00E36B76" w:rsidRPr="00E36B76" w:rsidRDefault="00E36B76" w:rsidP="00E36B76"/>
    <w:p w14:paraId="74682BAB" w14:textId="72F25673" w:rsidR="00E36B76" w:rsidRDefault="00E36B76" w:rsidP="1E7F07F1">
      <w:pPr>
        <w:pStyle w:val="Heading2"/>
        <w:jc w:val="center"/>
        <w:rPr>
          <w:b/>
          <w:bCs/>
          <w:color w:val="auto"/>
        </w:rPr>
      </w:pPr>
      <w:r w:rsidRPr="1E7F07F1">
        <w:rPr>
          <w:b/>
          <w:bCs/>
          <w:color w:val="auto"/>
        </w:rPr>
        <w:lastRenderedPageBreak/>
        <w:t>Background of the Topic that Led to the Task Force</w:t>
      </w:r>
    </w:p>
    <w:p w14:paraId="61160295" w14:textId="77777777" w:rsidR="00E36B76" w:rsidRDefault="00C74361" w:rsidP="00E36B76">
      <w:pPr>
        <w:pStyle w:val="Heading2"/>
        <w:rPr>
          <w:rFonts w:asciiTheme="minorHAnsi" w:hAnsiTheme="minorHAnsi" w:cstheme="minorHAnsi"/>
          <w:color w:val="auto"/>
          <w:sz w:val="24"/>
          <w:szCs w:val="24"/>
        </w:rPr>
      </w:pPr>
      <w:r>
        <w:rPr>
          <w:rFonts w:asciiTheme="minorHAnsi" w:hAnsiTheme="minorHAnsi" w:cstheme="minorHAnsi"/>
          <w:color w:val="auto"/>
          <w:sz w:val="24"/>
          <w:szCs w:val="24"/>
        </w:rPr>
        <w:t>The creation of the Task Force was in response to negotiated language in the Agreement between the Faculty Association and Mt. SAC district</w:t>
      </w:r>
      <w:r w:rsidR="005B477D">
        <w:rPr>
          <w:rFonts w:asciiTheme="minorHAnsi" w:hAnsiTheme="minorHAnsi" w:cstheme="minorHAnsi"/>
          <w:color w:val="auto"/>
          <w:sz w:val="24"/>
          <w:szCs w:val="24"/>
        </w:rPr>
        <w:t>, Year 2</w:t>
      </w:r>
      <w:r>
        <w:rPr>
          <w:rFonts w:asciiTheme="minorHAnsi" w:hAnsiTheme="minorHAnsi" w:cstheme="minorHAnsi"/>
          <w:color w:val="auto"/>
          <w:sz w:val="24"/>
          <w:szCs w:val="24"/>
        </w:rPr>
        <w:t>.</w:t>
      </w:r>
    </w:p>
    <w:p w14:paraId="246DFC6D" w14:textId="77777777" w:rsidR="00C74361" w:rsidRPr="00C74361" w:rsidRDefault="00C74361" w:rsidP="00C74361">
      <w:pPr>
        <w:ind w:left="720"/>
        <w:rPr>
          <w:sz w:val="20"/>
          <w:szCs w:val="20"/>
        </w:rPr>
      </w:pPr>
      <w:r w:rsidRPr="00C74361">
        <w:rPr>
          <w:sz w:val="20"/>
          <w:szCs w:val="20"/>
        </w:rPr>
        <w:t>13</w:t>
      </w:r>
      <w:proofErr w:type="gramStart"/>
      <w:r w:rsidRPr="00C74361">
        <w:rPr>
          <w:sz w:val="20"/>
          <w:szCs w:val="20"/>
        </w:rPr>
        <w:t>.A.4</w:t>
      </w:r>
      <w:proofErr w:type="gramEnd"/>
      <w:r w:rsidRPr="00C74361">
        <w:rPr>
          <w:sz w:val="20"/>
          <w:szCs w:val="20"/>
        </w:rPr>
        <w:t xml:space="preserve">. There shall be a certification process for regular and effective contact. The Academic Senate in consultation with the Faculty Association and the District will create a rubric that identifies regular and effective contact. The rubric will be used only to determine regular and effective contact. This certification process is separate and distinct from the SPOT certification process. </w:t>
      </w:r>
    </w:p>
    <w:p w14:paraId="2A79A376" w14:textId="77777777" w:rsidR="00C74361" w:rsidRPr="00C74361" w:rsidRDefault="00C74361" w:rsidP="00C74361">
      <w:pPr>
        <w:ind w:left="720"/>
        <w:rPr>
          <w:sz w:val="20"/>
          <w:szCs w:val="20"/>
        </w:rPr>
      </w:pPr>
      <w:r w:rsidRPr="00C74361">
        <w:rPr>
          <w:sz w:val="20"/>
          <w:szCs w:val="20"/>
        </w:rPr>
        <w:t>13</w:t>
      </w:r>
      <w:proofErr w:type="gramStart"/>
      <w:r w:rsidRPr="00C74361">
        <w:rPr>
          <w:sz w:val="20"/>
          <w:szCs w:val="20"/>
        </w:rPr>
        <w:t>.A.5</w:t>
      </w:r>
      <w:proofErr w:type="gramEnd"/>
      <w:r w:rsidRPr="00C74361">
        <w:rPr>
          <w:sz w:val="20"/>
          <w:szCs w:val="20"/>
        </w:rPr>
        <w:t>. A certified chair or certified designee may be granted access after a two (2) day notification period for no longer than one (1) week to visit a DL course to ensure that regular and effective contact is occurring. This observation shall occur after the 40% mark of the course. A follow-up written communication will be sent within two (2) weeks of the observation to the professor, to the department chair, and to the appropriate manager. If regular and effective contact is not evident during this observation, the professor may request a second review by a certified manager. The second review shall be in consultation with the professor. If the review does not find adequate regular and effective contact, a professor may be required to repeat SPOT certification or recertification in order to maintain eligibility for teaching DL courses. Teaching DL courses is subject to college need and loss of eligibility is not in itself a disciplinary action. No disciplinary action or evaluation will result from these observations.</w:t>
      </w:r>
    </w:p>
    <w:p w14:paraId="1780B2BF" w14:textId="77777777" w:rsidR="00E36B76" w:rsidRPr="00E36B76" w:rsidRDefault="00E36B76" w:rsidP="00E36B76"/>
    <w:p w14:paraId="3F560ACD" w14:textId="77777777" w:rsidR="00E36B76" w:rsidRPr="00E36B76" w:rsidRDefault="00E36B76" w:rsidP="00E36B76">
      <w:pPr>
        <w:pStyle w:val="Heading2"/>
        <w:jc w:val="center"/>
        <w:rPr>
          <w:b/>
          <w:color w:val="auto"/>
        </w:rPr>
      </w:pPr>
      <w:r w:rsidRPr="00E36B76">
        <w:rPr>
          <w:b/>
          <w:color w:val="auto"/>
        </w:rPr>
        <w:t>Information Findings from the Task Force</w:t>
      </w:r>
    </w:p>
    <w:p w14:paraId="18AB3A5E" w14:textId="570C8421" w:rsidR="0056305B" w:rsidRDefault="5DD168B9" w:rsidP="1E7F07F1">
      <w:pPr>
        <w:pStyle w:val="Heading2"/>
        <w:numPr>
          <w:ilvl w:val="0"/>
          <w:numId w:val="11"/>
        </w:numPr>
        <w:rPr>
          <w:rFonts w:asciiTheme="minorHAnsi" w:hAnsiTheme="minorHAnsi" w:cstheme="minorBidi"/>
          <w:color w:val="auto"/>
          <w:sz w:val="24"/>
          <w:szCs w:val="24"/>
        </w:rPr>
      </w:pPr>
      <w:r w:rsidRPr="1E7F07F1">
        <w:rPr>
          <w:rFonts w:asciiTheme="minorHAnsi" w:hAnsiTheme="minorHAnsi" w:cstheme="minorBidi"/>
          <w:color w:val="auto"/>
          <w:sz w:val="24"/>
          <w:szCs w:val="24"/>
        </w:rPr>
        <w:t xml:space="preserve">Regular effective contact, also known as regular substantive interaction in federal language, is broadly defined in both federal and state regulations.  Professor-initiated contact is one of the essential ways that online distance education courses are differentiated from correspondence courses.  Federal financial aid is not given </w:t>
      </w:r>
      <w:r w:rsidR="2C856A10" w:rsidRPr="1E7F07F1">
        <w:rPr>
          <w:rFonts w:asciiTheme="minorHAnsi" w:hAnsiTheme="minorHAnsi" w:cstheme="minorBidi"/>
          <w:color w:val="auto"/>
          <w:sz w:val="24"/>
          <w:szCs w:val="24"/>
        </w:rPr>
        <w:t>for</w:t>
      </w:r>
      <w:r w:rsidRPr="1E7F07F1">
        <w:rPr>
          <w:rFonts w:asciiTheme="minorHAnsi" w:hAnsiTheme="minorHAnsi" w:cstheme="minorBidi"/>
          <w:color w:val="auto"/>
          <w:sz w:val="24"/>
          <w:szCs w:val="24"/>
        </w:rPr>
        <w:t xml:space="preserve"> correspondence courses.</w:t>
      </w:r>
    </w:p>
    <w:p w14:paraId="0A84BD07" w14:textId="69277B79" w:rsidR="1E7F07F1" w:rsidRDefault="1E7F07F1" w:rsidP="1E7F07F1"/>
    <w:p w14:paraId="62E923E7" w14:textId="7075401D" w:rsidR="00092045" w:rsidRDefault="005B477D" w:rsidP="1E7F07F1">
      <w:pPr>
        <w:pStyle w:val="Heading2"/>
        <w:numPr>
          <w:ilvl w:val="0"/>
          <w:numId w:val="11"/>
        </w:numPr>
        <w:rPr>
          <w:rFonts w:asciiTheme="minorHAnsi" w:hAnsiTheme="minorHAnsi" w:cstheme="minorBidi"/>
          <w:color w:val="auto"/>
          <w:sz w:val="24"/>
          <w:szCs w:val="24"/>
        </w:rPr>
      </w:pPr>
      <w:r w:rsidRPr="1E7F07F1">
        <w:rPr>
          <w:rFonts w:asciiTheme="minorHAnsi" w:hAnsiTheme="minorHAnsi" w:cstheme="minorBidi"/>
          <w:color w:val="auto"/>
          <w:sz w:val="24"/>
          <w:szCs w:val="24"/>
        </w:rPr>
        <w:t>Neither federal, state, nor accrediting agencies mandate a required num</w:t>
      </w:r>
      <w:r w:rsidR="00D51FD4" w:rsidRPr="1E7F07F1">
        <w:rPr>
          <w:rFonts w:asciiTheme="minorHAnsi" w:hAnsiTheme="minorHAnsi" w:cstheme="minorBidi"/>
          <w:color w:val="auto"/>
          <w:sz w:val="24"/>
          <w:szCs w:val="24"/>
        </w:rPr>
        <w:t>ber of professor-student interaction</w:t>
      </w:r>
      <w:r w:rsidRPr="1E7F07F1">
        <w:rPr>
          <w:rFonts w:asciiTheme="minorHAnsi" w:hAnsiTheme="minorHAnsi" w:cstheme="minorBidi"/>
          <w:color w:val="auto"/>
          <w:sz w:val="24"/>
          <w:szCs w:val="24"/>
        </w:rPr>
        <w:t xml:space="preserve">s to qualify as regular and effective contact.  </w:t>
      </w:r>
    </w:p>
    <w:p w14:paraId="25132F0F" w14:textId="75493519" w:rsidR="00092045" w:rsidRDefault="00092045" w:rsidP="1E7F07F1">
      <w:pPr>
        <w:pStyle w:val="Heading2"/>
        <w:numPr>
          <w:ilvl w:val="1"/>
          <w:numId w:val="11"/>
        </w:numPr>
        <w:rPr>
          <w:rFonts w:asciiTheme="minorHAnsi" w:hAnsiTheme="minorHAnsi" w:cstheme="minorBidi"/>
          <w:color w:val="auto"/>
          <w:sz w:val="24"/>
          <w:szCs w:val="24"/>
        </w:rPr>
      </w:pPr>
      <w:r w:rsidRPr="1E7F07F1">
        <w:rPr>
          <w:rFonts w:asciiTheme="minorHAnsi" w:hAnsiTheme="minorHAnsi" w:cstheme="minorBidi"/>
          <w:color w:val="auto"/>
          <w:sz w:val="24"/>
          <w:szCs w:val="24"/>
        </w:rPr>
        <w:t xml:space="preserve">Federal guidelines </w:t>
      </w:r>
      <w:r w:rsidR="00CF71DC" w:rsidRPr="1E7F07F1">
        <w:rPr>
          <w:rFonts w:asciiTheme="minorHAnsi" w:hAnsiTheme="minorHAnsi" w:cstheme="minorBidi"/>
          <w:color w:val="auto"/>
          <w:sz w:val="24"/>
          <w:szCs w:val="24"/>
        </w:rPr>
        <w:t xml:space="preserve">merely </w:t>
      </w:r>
      <w:r w:rsidRPr="1E7F07F1">
        <w:rPr>
          <w:rFonts w:asciiTheme="minorHAnsi" w:hAnsiTheme="minorHAnsi" w:cstheme="minorBidi"/>
          <w:color w:val="auto"/>
          <w:sz w:val="24"/>
          <w:szCs w:val="24"/>
        </w:rPr>
        <w:t>specify that distance education</w:t>
      </w:r>
      <w:r w:rsidR="005B477D" w:rsidRPr="1E7F07F1">
        <w:rPr>
          <w:rFonts w:asciiTheme="minorHAnsi" w:hAnsiTheme="minorHAnsi" w:cstheme="minorBidi"/>
          <w:color w:val="auto"/>
          <w:sz w:val="24"/>
          <w:szCs w:val="24"/>
        </w:rPr>
        <w:t xml:space="preserve"> contact </w:t>
      </w:r>
      <w:r w:rsidRPr="1E7F07F1">
        <w:rPr>
          <w:rFonts w:asciiTheme="minorHAnsi" w:hAnsiTheme="minorHAnsi" w:cstheme="minorBidi"/>
          <w:color w:val="auto"/>
          <w:sz w:val="24"/>
          <w:szCs w:val="24"/>
        </w:rPr>
        <w:t>that is</w:t>
      </w:r>
      <w:r w:rsidR="005B477D" w:rsidRPr="1E7F07F1">
        <w:rPr>
          <w:rFonts w:asciiTheme="minorHAnsi" w:hAnsiTheme="minorHAnsi" w:cstheme="minorBidi"/>
          <w:color w:val="auto"/>
          <w:sz w:val="24"/>
          <w:szCs w:val="24"/>
        </w:rPr>
        <w:t xml:space="preserve"> professor-initiated</w:t>
      </w:r>
      <w:r w:rsidRPr="1E7F07F1">
        <w:rPr>
          <w:rFonts w:asciiTheme="minorHAnsi" w:hAnsiTheme="minorHAnsi" w:cstheme="minorBidi"/>
          <w:color w:val="auto"/>
          <w:sz w:val="24"/>
          <w:szCs w:val="24"/>
        </w:rPr>
        <w:t xml:space="preserve"> differentiates it from a correspondence course</w:t>
      </w:r>
      <w:r w:rsidR="005B477D" w:rsidRPr="1E7F07F1">
        <w:rPr>
          <w:rFonts w:asciiTheme="minorHAnsi" w:hAnsiTheme="minorHAnsi" w:cstheme="minorBidi"/>
          <w:color w:val="auto"/>
          <w:sz w:val="24"/>
          <w:szCs w:val="24"/>
        </w:rPr>
        <w:t>.  A proposed addition</w:t>
      </w:r>
      <w:r w:rsidRPr="1E7F07F1">
        <w:rPr>
          <w:rFonts w:asciiTheme="minorHAnsi" w:hAnsiTheme="minorHAnsi" w:cstheme="minorBidi"/>
          <w:color w:val="auto"/>
          <w:sz w:val="24"/>
          <w:szCs w:val="24"/>
        </w:rPr>
        <w:t xml:space="preserve"> to these regulations</w:t>
      </w:r>
      <w:r w:rsidR="005B477D" w:rsidRPr="1E7F07F1">
        <w:rPr>
          <w:rFonts w:asciiTheme="minorHAnsi" w:hAnsiTheme="minorHAnsi" w:cstheme="minorBidi"/>
          <w:color w:val="auto"/>
          <w:sz w:val="24"/>
          <w:szCs w:val="24"/>
        </w:rPr>
        <w:t xml:space="preserve">, which </w:t>
      </w:r>
      <w:r w:rsidR="00383625" w:rsidRPr="1E7F07F1">
        <w:rPr>
          <w:rFonts w:asciiTheme="minorHAnsi" w:hAnsiTheme="minorHAnsi" w:cstheme="minorBidi"/>
          <w:color w:val="auto"/>
          <w:sz w:val="24"/>
          <w:szCs w:val="24"/>
        </w:rPr>
        <w:t>was not adopted, identified</w:t>
      </w:r>
      <w:r w:rsidR="005B477D" w:rsidRPr="1E7F07F1">
        <w:rPr>
          <w:rFonts w:asciiTheme="minorHAnsi" w:hAnsiTheme="minorHAnsi" w:cstheme="minorBidi"/>
          <w:color w:val="auto"/>
          <w:sz w:val="24"/>
          <w:szCs w:val="24"/>
        </w:rPr>
        <w:t xml:space="preserve"> once per week a</w:t>
      </w:r>
      <w:r w:rsidR="00E87E95" w:rsidRPr="1E7F07F1">
        <w:rPr>
          <w:rFonts w:asciiTheme="minorHAnsi" w:hAnsiTheme="minorHAnsi" w:cstheme="minorBidi"/>
          <w:color w:val="auto"/>
          <w:sz w:val="24"/>
          <w:szCs w:val="24"/>
        </w:rPr>
        <w:t>s a</w:t>
      </w:r>
      <w:r w:rsidR="005B477D" w:rsidRPr="1E7F07F1">
        <w:rPr>
          <w:rFonts w:asciiTheme="minorHAnsi" w:hAnsiTheme="minorHAnsi" w:cstheme="minorBidi"/>
          <w:color w:val="auto"/>
          <w:sz w:val="24"/>
          <w:szCs w:val="24"/>
        </w:rPr>
        <w:t xml:space="preserve"> minimum</w:t>
      </w:r>
      <w:r w:rsidR="00E87E95" w:rsidRPr="1E7F07F1">
        <w:rPr>
          <w:rFonts w:asciiTheme="minorHAnsi" w:hAnsiTheme="minorHAnsi" w:cstheme="minorBidi"/>
          <w:color w:val="auto"/>
          <w:sz w:val="24"/>
          <w:szCs w:val="24"/>
        </w:rPr>
        <w:t xml:space="preserve"> number of professor-initiated contacts</w:t>
      </w:r>
      <w:r w:rsidR="00383625" w:rsidRPr="1E7F07F1">
        <w:rPr>
          <w:rFonts w:asciiTheme="minorHAnsi" w:hAnsiTheme="minorHAnsi" w:cstheme="minorBidi"/>
          <w:color w:val="auto"/>
          <w:sz w:val="24"/>
          <w:szCs w:val="24"/>
        </w:rPr>
        <w:t>, but later drafts did not include that language</w:t>
      </w:r>
      <w:r w:rsidR="005B477D" w:rsidRPr="1E7F07F1">
        <w:rPr>
          <w:rFonts w:asciiTheme="minorHAnsi" w:hAnsiTheme="minorHAnsi" w:cstheme="minorBidi"/>
          <w:color w:val="auto"/>
          <w:sz w:val="24"/>
          <w:szCs w:val="24"/>
        </w:rPr>
        <w:t xml:space="preserve">.  </w:t>
      </w:r>
    </w:p>
    <w:p w14:paraId="6C0119A1" w14:textId="77777777" w:rsidR="00092045" w:rsidRDefault="005B477D" w:rsidP="1E7F07F1">
      <w:pPr>
        <w:pStyle w:val="Heading2"/>
        <w:numPr>
          <w:ilvl w:val="1"/>
          <w:numId w:val="11"/>
        </w:numPr>
        <w:rPr>
          <w:rFonts w:asciiTheme="minorHAnsi" w:hAnsiTheme="minorHAnsi" w:cstheme="minorBidi"/>
          <w:color w:val="auto"/>
          <w:sz w:val="24"/>
          <w:szCs w:val="24"/>
        </w:rPr>
      </w:pPr>
      <w:r w:rsidRPr="1E7F07F1">
        <w:rPr>
          <w:rFonts w:asciiTheme="minorHAnsi" w:hAnsiTheme="minorHAnsi" w:cstheme="minorBidi"/>
          <w:color w:val="auto"/>
          <w:sz w:val="24"/>
          <w:szCs w:val="24"/>
        </w:rPr>
        <w:t xml:space="preserve">State guidelines add that online courses must enable student-student interaction. </w:t>
      </w:r>
    </w:p>
    <w:p w14:paraId="014124C3" w14:textId="77777777" w:rsidR="00E36B76" w:rsidRDefault="005B477D" w:rsidP="1E7F07F1">
      <w:pPr>
        <w:pStyle w:val="Heading2"/>
        <w:numPr>
          <w:ilvl w:val="1"/>
          <w:numId w:val="11"/>
        </w:numPr>
        <w:rPr>
          <w:rFonts w:asciiTheme="minorHAnsi" w:hAnsiTheme="minorHAnsi" w:cstheme="minorBidi"/>
          <w:color w:val="auto"/>
          <w:sz w:val="24"/>
          <w:szCs w:val="24"/>
        </w:rPr>
      </w:pPr>
      <w:r w:rsidRPr="1E7F07F1">
        <w:rPr>
          <w:rFonts w:asciiTheme="minorHAnsi" w:hAnsiTheme="minorHAnsi" w:cstheme="minorBidi"/>
          <w:color w:val="auto"/>
          <w:sz w:val="24"/>
          <w:szCs w:val="24"/>
        </w:rPr>
        <w:t xml:space="preserve">The ACCJC </w:t>
      </w:r>
      <w:r w:rsidR="00E87E95" w:rsidRPr="1E7F07F1">
        <w:rPr>
          <w:rFonts w:asciiTheme="minorHAnsi" w:hAnsiTheme="minorHAnsi" w:cstheme="minorBidi"/>
          <w:color w:val="auto"/>
          <w:sz w:val="24"/>
          <w:szCs w:val="24"/>
        </w:rPr>
        <w:t>does not mandate number of interactions but states that campuses must create their own standards equivalent to in-person courses, d</w:t>
      </w:r>
      <w:r w:rsidR="00092045" w:rsidRPr="1E7F07F1">
        <w:rPr>
          <w:rFonts w:asciiTheme="minorHAnsi" w:hAnsiTheme="minorHAnsi" w:cstheme="minorBidi"/>
          <w:color w:val="auto"/>
          <w:sz w:val="24"/>
          <w:szCs w:val="24"/>
        </w:rPr>
        <w:t>efin</w:t>
      </w:r>
      <w:r w:rsidR="00E87E95" w:rsidRPr="1E7F07F1">
        <w:rPr>
          <w:rFonts w:asciiTheme="minorHAnsi" w:hAnsiTheme="minorHAnsi" w:cstheme="minorBidi"/>
          <w:color w:val="auto"/>
          <w:sz w:val="24"/>
          <w:szCs w:val="24"/>
        </w:rPr>
        <w:t xml:space="preserve">e these standards in appropriate documents, </w:t>
      </w:r>
      <w:r w:rsidR="00092045" w:rsidRPr="1E7F07F1">
        <w:rPr>
          <w:rFonts w:asciiTheme="minorHAnsi" w:hAnsiTheme="minorHAnsi" w:cstheme="minorBidi"/>
          <w:color w:val="auto"/>
          <w:sz w:val="24"/>
          <w:szCs w:val="24"/>
        </w:rPr>
        <w:t>describe features of the Learning Management System (LMS) that facilitate interaction, and show evidence of faculty training on best practices for regular and substantive interaction</w:t>
      </w:r>
      <w:r w:rsidR="00E87E95" w:rsidRPr="1E7F07F1">
        <w:rPr>
          <w:rFonts w:asciiTheme="minorHAnsi" w:hAnsiTheme="minorHAnsi" w:cstheme="minorBidi"/>
          <w:color w:val="auto"/>
          <w:sz w:val="24"/>
          <w:szCs w:val="24"/>
        </w:rPr>
        <w:t xml:space="preserve">.  </w:t>
      </w:r>
    </w:p>
    <w:p w14:paraId="3B2BF647" w14:textId="6BBDC8B8" w:rsidR="00F33872" w:rsidRPr="00045543" w:rsidRDefault="5E68A133" w:rsidP="1E7F07F1">
      <w:pPr>
        <w:pStyle w:val="ListParagraph"/>
        <w:numPr>
          <w:ilvl w:val="0"/>
          <w:numId w:val="13"/>
        </w:numPr>
        <w:rPr>
          <w:rFonts w:asciiTheme="minorHAnsi" w:hAnsiTheme="minorHAnsi" w:cstheme="minorBidi"/>
        </w:rPr>
      </w:pPr>
      <w:r w:rsidRPr="1E7F07F1">
        <w:rPr>
          <w:rFonts w:asciiTheme="minorHAnsi" w:hAnsiTheme="minorHAnsi" w:cstheme="minorBidi"/>
        </w:rPr>
        <w:t>From these findings, the Task Force determined that a set number of interactions would not be mandated, but professors should demonstrate regular and effective contact in the majority (&gt;50%) of whatever portion of their course is taught online.</w:t>
      </w:r>
    </w:p>
    <w:p w14:paraId="78F7AB1F" w14:textId="77D8E4E3" w:rsidR="003425A7" w:rsidRDefault="003425A7">
      <w:pPr>
        <w:spacing w:after="200" w:line="276" w:lineRule="auto"/>
        <w:rPr>
          <w:rFonts w:asciiTheme="minorHAnsi" w:hAnsiTheme="minorHAnsi" w:cstheme="minorBidi"/>
        </w:rPr>
      </w:pPr>
      <w:r>
        <w:rPr>
          <w:rFonts w:asciiTheme="minorHAnsi" w:hAnsiTheme="minorHAnsi" w:cstheme="minorBidi"/>
        </w:rPr>
        <w:br w:type="page"/>
      </w:r>
    </w:p>
    <w:p w14:paraId="56D1D1B3" w14:textId="77777777" w:rsidR="1E7F07F1" w:rsidRDefault="1E7F07F1" w:rsidP="1E7F07F1">
      <w:pPr>
        <w:rPr>
          <w:rFonts w:asciiTheme="minorHAnsi" w:hAnsiTheme="minorHAnsi" w:cstheme="minorBidi"/>
        </w:rPr>
      </w:pPr>
      <w:bookmarkStart w:id="0" w:name="_GoBack"/>
      <w:bookmarkEnd w:id="0"/>
    </w:p>
    <w:p w14:paraId="09840B3C" w14:textId="5214CFB4" w:rsidR="00045543" w:rsidRDefault="00D51FD4" w:rsidP="1E7F07F1">
      <w:pPr>
        <w:pStyle w:val="ListParagraph"/>
        <w:numPr>
          <w:ilvl w:val="0"/>
          <w:numId w:val="11"/>
        </w:numPr>
        <w:rPr>
          <w:rFonts w:asciiTheme="minorHAnsi" w:hAnsiTheme="minorHAnsi" w:cstheme="minorBidi"/>
        </w:rPr>
      </w:pPr>
      <w:r w:rsidRPr="1E7F07F1">
        <w:rPr>
          <w:rFonts w:asciiTheme="minorHAnsi" w:hAnsiTheme="minorHAnsi" w:cstheme="minorBidi"/>
        </w:rPr>
        <w:t>The current “best practice</w:t>
      </w:r>
      <w:r w:rsidR="00F7751F" w:rsidRPr="1E7F07F1">
        <w:rPr>
          <w:rFonts w:asciiTheme="minorHAnsi" w:hAnsiTheme="minorHAnsi" w:cstheme="minorBidi"/>
        </w:rPr>
        <w:t>s</w:t>
      </w:r>
      <w:r w:rsidRPr="1E7F07F1">
        <w:rPr>
          <w:rFonts w:asciiTheme="minorHAnsi" w:hAnsiTheme="minorHAnsi" w:cstheme="minorBidi"/>
        </w:rPr>
        <w:t xml:space="preserve">” </w:t>
      </w:r>
      <w:r w:rsidR="00F7751F" w:rsidRPr="1E7F07F1">
        <w:rPr>
          <w:rFonts w:asciiTheme="minorHAnsi" w:hAnsiTheme="minorHAnsi" w:cstheme="minorBidi"/>
        </w:rPr>
        <w:t>for online course design are</w:t>
      </w:r>
      <w:r w:rsidRPr="1E7F07F1">
        <w:rPr>
          <w:rFonts w:asciiTheme="minorHAnsi" w:hAnsiTheme="minorHAnsi" w:cstheme="minorBidi"/>
        </w:rPr>
        <w:t xml:space="preserve"> </w:t>
      </w:r>
      <w:r w:rsidR="00F7751F" w:rsidRPr="1E7F07F1">
        <w:rPr>
          <w:rFonts w:asciiTheme="minorHAnsi" w:hAnsiTheme="minorHAnsi" w:cstheme="minorBidi"/>
        </w:rPr>
        <w:t>describ</w:t>
      </w:r>
      <w:r w:rsidRPr="1E7F07F1">
        <w:rPr>
          <w:rFonts w:asciiTheme="minorHAnsi" w:hAnsiTheme="minorHAnsi" w:cstheme="minorBidi"/>
        </w:rPr>
        <w:t xml:space="preserve">ed in </w:t>
      </w:r>
      <w:r w:rsidR="00007B3C" w:rsidRPr="1E7F07F1">
        <w:rPr>
          <w:rFonts w:asciiTheme="minorHAnsi" w:hAnsiTheme="minorHAnsi" w:cstheme="minorBidi"/>
        </w:rPr>
        <w:t xml:space="preserve">CVC-OEI rubric. </w:t>
      </w:r>
      <w:r w:rsidR="00007B3C" w:rsidRPr="1E7F07F1">
        <w:rPr>
          <w:rFonts w:asciiTheme="minorHAnsi" w:hAnsiTheme="minorHAnsi" w:cstheme="minorBidi"/>
          <w:color w:val="333333"/>
          <w:shd w:val="clear" w:color="auto" w:fill="FFFFFF"/>
        </w:rPr>
        <w:t xml:space="preserve">The OEI rubric was designed using standards </w:t>
      </w:r>
      <w:r w:rsidR="00461279" w:rsidRPr="1E7F07F1">
        <w:rPr>
          <w:rFonts w:asciiTheme="minorHAnsi" w:hAnsiTheme="minorHAnsi" w:cstheme="minorBidi"/>
          <w:color w:val="333333"/>
          <w:shd w:val="clear" w:color="auto" w:fill="FFFFFF"/>
        </w:rPr>
        <w:t>from</w:t>
      </w:r>
      <w:r w:rsidR="00007B3C" w:rsidRPr="1E7F07F1">
        <w:rPr>
          <w:rFonts w:asciiTheme="minorHAnsi" w:hAnsiTheme="minorHAnsi" w:cstheme="minorBidi"/>
          <w:color w:val="333333"/>
          <w:shd w:val="clear" w:color="auto" w:fill="FFFFFF"/>
        </w:rPr>
        <w:t xml:space="preserve"> @ONE, the CCC Distance Education Coordinator’s group, the Academic Senate for California Community Colleges (ASCCC), and the CCC Chancellor’s office (CCCCO), as well as other local college and nationally established standards.</w:t>
      </w:r>
      <w:r w:rsidR="00007B3C" w:rsidRPr="1E7F07F1">
        <w:rPr>
          <w:rFonts w:asciiTheme="minorHAnsi" w:hAnsiTheme="minorHAnsi" w:cstheme="minorBidi"/>
        </w:rPr>
        <w:t xml:space="preserve"> </w:t>
      </w:r>
      <w:r w:rsidRPr="1E7F07F1">
        <w:rPr>
          <w:rFonts w:asciiTheme="minorHAnsi" w:hAnsiTheme="minorHAnsi" w:cstheme="minorBidi"/>
        </w:rPr>
        <w:t xml:space="preserve">The CVC-OEI rubric </w:t>
      </w:r>
      <w:r w:rsidR="00007B3C" w:rsidRPr="1E7F07F1">
        <w:rPr>
          <w:rFonts w:asciiTheme="minorHAnsi" w:hAnsiTheme="minorHAnsi" w:cstheme="minorBidi"/>
        </w:rPr>
        <w:t xml:space="preserve">emphasizes the importance of using a variety of modalities in a consistent and predictable manner </w:t>
      </w:r>
      <w:r w:rsidR="48F63DD7" w:rsidRPr="1E7F07F1">
        <w:rPr>
          <w:rFonts w:asciiTheme="minorHAnsi" w:hAnsiTheme="minorHAnsi" w:cstheme="minorBidi"/>
        </w:rPr>
        <w:t>with</w:t>
      </w:r>
      <w:r w:rsidR="00007B3C" w:rsidRPr="1E7F07F1">
        <w:rPr>
          <w:rFonts w:asciiTheme="minorHAnsi" w:hAnsiTheme="minorHAnsi" w:cstheme="minorBidi"/>
        </w:rPr>
        <w:t xml:space="preserve">in a course shell.  </w:t>
      </w:r>
    </w:p>
    <w:p w14:paraId="1332EE87" w14:textId="61D24631" w:rsidR="00F7751F" w:rsidRPr="00635E6A" w:rsidRDefault="66B1BF34" w:rsidP="66B1BF34">
      <w:pPr>
        <w:pStyle w:val="ListParagraph"/>
        <w:numPr>
          <w:ilvl w:val="0"/>
          <w:numId w:val="13"/>
        </w:numPr>
        <w:rPr>
          <w:rFonts w:asciiTheme="minorHAnsi" w:hAnsiTheme="minorHAnsi" w:cstheme="minorBidi"/>
        </w:rPr>
      </w:pPr>
      <w:r w:rsidRPr="66B1BF34">
        <w:rPr>
          <w:rFonts w:asciiTheme="minorHAnsi" w:hAnsiTheme="minorHAnsi" w:cstheme="minorBidi"/>
        </w:rPr>
        <w:t xml:space="preserve">Using this rubric, the Task Force determined that faculty should think about the many ways that interactions occur in their in-person courses and use that understanding as a guide to design their online courses.  A variety of contact methods, used consistently, best mimics what is done in an in-person course.   </w:t>
      </w:r>
    </w:p>
    <w:p w14:paraId="6BFE2D4E" w14:textId="7C9B6561" w:rsidR="00045543" w:rsidRDefault="66B1BF34" w:rsidP="66B1BF34">
      <w:pPr>
        <w:pStyle w:val="ListParagraph"/>
        <w:numPr>
          <w:ilvl w:val="0"/>
          <w:numId w:val="13"/>
        </w:numPr>
      </w:pPr>
      <w:r w:rsidRPr="66B1BF34">
        <w:rPr>
          <w:rFonts w:asciiTheme="minorHAnsi" w:hAnsiTheme="minorHAnsi" w:cstheme="minorBidi"/>
        </w:rPr>
        <w:t xml:space="preserve">The Task Force found the greatest variety in methods for professor-initiated contact.  The Task Force concluded that faculty should deploy </w:t>
      </w:r>
      <w:r w:rsidRPr="66B1BF34">
        <w:rPr>
          <w:rFonts w:asciiTheme="minorHAnsi" w:hAnsiTheme="minorHAnsi" w:cstheme="minorBidi"/>
          <w:b/>
          <w:bCs/>
        </w:rPr>
        <w:t>multiple, recurring</w:t>
      </w:r>
      <w:r w:rsidRPr="66B1BF34">
        <w:rPr>
          <w:rFonts w:asciiTheme="minorHAnsi" w:hAnsiTheme="minorHAnsi" w:cstheme="minorBidi"/>
        </w:rPr>
        <w:t xml:space="preserve"> methods of instructor-student contact.  Instructor-student contact methods include participating in discussions, giving extensive individual feedback, using embedded rubrics, sending progress reports or early alerts, communicating via Inbox, email, phone, in-person, or external apps,  engaging in Chat or </w:t>
      </w:r>
      <w:proofErr w:type="spellStart"/>
      <w:r w:rsidRPr="66B1BF34">
        <w:rPr>
          <w:rFonts w:asciiTheme="minorHAnsi" w:hAnsiTheme="minorHAnsi" w:cstheme="minorBidi"/>
        </w:rPr>
        <w:t>ConferZoom</w:t>
      </w:r>
      <w:proofErr w:type="spellEnd"/>
      <w:r w:rsidRPr="66B1BF34">
        <w:rPr>
          <w:rFonts w:asciiTheme="minorHAnsi" w:hAnsiTheme="minorHAnsi" w:cstheme="minorBidi"/>
        </w:rPr>
        <w:t xml:space="preserve"> conferences, making announcements via the LMS, and providing instructional materials with explanations.</w:t>
      </w:r>
    </w:p>
    <w:p w14:paraId="33475665" w14:textId="59B8075D" w:rsidR="00045543" w:rsidRDefault="66B1BF34" w:rsidP="66B1BF34">
      <w:pPr>
        <w:pStyle w:val="ListParagraph"/>
        <w:numPr>
          <w:ilvl w:val="0"/>
          <w:numId w:val="13"/>
        </w:numPr>
      </w:pPr>
      <w:r w:rsidRPr="66B1BF34">
        <w:rPr>
          <w:rFonts w:asciiTheme="minorHAnsi" w:hAnsiTheme="minorHAnsi" w:cstheme="minorBidi"/>
        </w:rPr>
        <w:t xml:space="preserve">The Task Force found that the LMS provided fewer methods for faculty to enable student-student contact.  Student-student interaction methods include discussions (with required replies), collaborations, wikis, and peer review.  Because options are fewer, the Task Force concluded that an online course should include </w:t>
      </w:r>
      <w:r w:rsidRPr="66B1BF34">
        <w:rPr>
          <w:rFonts w:asciiTheme="minorHAnsi" w:hAnsiTheme="minorHAnsi" w:cstheme="minorBidi"/>
          <w:b/>
          <w:bCs/>
        </w:rPr>
        <w:t>recurring</w:t>
      </w:r>
      <w:r w:rsidRPr="66B1BF34">
        <w:rPr>
          <w:rFonts w:asciiTheme="minorHAnsi" w:hAnsiTheme="minorHAnsi" w:cstheme="minorBidi"/>
        </w:rPr>
        <w:t xml:space="preserve"> methods of student-student contact but not necessarily multiple methods.</w:t>
      </w:r>
    </w:p>
    <w:p w14:paraId="1485C3E2" w14:textId="7099917D" w:rsidR="00045543" w:rsidRDefault="00045543" w:rsidP="1E7F07F1">
      <w:pPr>
        <w:rPr>
          <w:rFonts w:asciiTheme="minorHAnsi" w:hAnsiTheme="minorHAnsi" w:cstheme="minorBidi"/>
        </w:rPr>
      </w:pPr>
    </w:p>
    <w:p w14:paraId="2BD27BEC" w14:textId="79D53622" w:rsidR="00045543" w:rsidRDefault="00007B3C" w:rsidP="1E7F07F1">
      <w:pPr>
        <w:pStyle w:val="ListParagraph"/>
        <w:numPr>
          <w:ilvl w:val="0"/>
          <w:numId w:val="11"/>
        </w:numPr>
      </w:pPr>
      <w:r w:rsidRPr="1E7F07F1">
        <w:rPr>
          <w:rFonts w:asciiTheme="minorHAnsi" w:hAnsiTheme="minorHAnsi" w:cstheme="minorBidi"/>
        </w:rPr>
        <w:t>Federal, state, and local FERPA regulations allow school officials, including teachers, within a school to obtain access to personally identifiable information in education records provided the school has determined they have a legitimate educational interest in the information.</w:t>
      </w:r>
    </w:p>
    <w:p w14:paraId="65E49C5B" w14:textId="7DB7F8CD" w:rsidR="00007B3C" w:rsidRDefault="00007B3C" w:rsidP="1E7F07F1">
      <w:pPr>
        <w:pStyle w:val="ListParagraph"/>
        <w:numPr>
          <w:ilvl w:val="0"/>
          <w:numId w:val="13"/>
        </w:numPr>
        <w:rPr>
          <w:rFonts w:asciiTheme="minorHAnsi" w:hAnsiTheme="minorHAnsi" w:cstheme="minorBidi"/>
        </w:rPr>
      </w:pPr>
      <w:r w:rsidRPr="1E7F07F1">
        <w:rPr>
          <w:rFonts w:asciiTheme="minorHAnsi" w:hAnsiTheme="minorHAnsi" w:cstheme="minorBidi"/>
        </w:rPr>
        <w:t xml:space="preserve">From this language, the Task Force determined that it would be allowable for </w:t>
      </w:r>
      <w:r w:rsidR="00637E56" w:rsidRPr="1E7F07F1">
        <w:rPr>
          <w:rFonts w:asciiTheme="minorHAnsi" w:hAnsiTheme="minorHAnsi" w:cstheme="minorBidi"/>
        </w:rPr>
        <w:t xml:space="preserve">peer </w:t>
      </w:r>
      <w:r w:rsidRPr="1E7F07F1">
        <w:rPr>
          <w:rFonts w:asciiTheme="minorHAnsi" w:hAnsiTheme="minorHAnsi" w:cstheme="minorBidi"/>
        </w:rPr>
        <w:t>reviewers to view individualized feedback that professors gave to their online students’ assignments and discussion posts.</w:t>
      </w:r>
    </w:p>
    <w:p w14:paraId="64AFEF7E" w14:textId="215EFABE" w:rsidR="1E7F07F1" w:rsidRDefault="1E7F07F1" w:rsidP="1E7F07F1">
      <w:pPr>
        <w:rPr>
          <w:rFonts w:asciiTheme="minorHAnsi" w:hAnsiTheme="minorHAnsi" w:cstheme="minorBidi"/>
        </w:rPr>
      </w:pPr>
    </w:p>
    <w:p w14:paraId="5FE3914B" w14:textId="094905C8" w:rsidR="00D51FD4" w:rsidRDefault="1C66B182" w:rsidP="1C66B182">
      <w:pPr>
        <w:pStyle w:val="ListParagraph"/>
        <w:numPr>
          <w:ilvl w:val="0"/>
          <w:numId w:val="11"/>
        </w:numPr>
        <w:rPr>
          <w:rFonts w:asciiTheme="minorHAnsi" w:hAnsiTheme="minorHAnsi" w:cstheme="minorBidi"/>
        </w:rPr>
      </w:pPr>
      <w:r w:rsidRPr="1E7F07F1">
        <w:rPr>
          <w:rFonts w:asciiTheme="minorHAnsi" w:hAnsiTheme="minorHAnsi" w:cstheme="minorBidi"/>
        </w:rPr>
        <w:t xml:space="preserve">Neither federal nor state guidelines provide instructions for reviewing online courses to determine regular effective contact.  The ACCJC sets guidelines for evaluating distance education which include reviewing “no fewer than 15 sections but no more than 10% of the total number of distance education sections offered in a semester” (p. 148, </w:t>
      </w:r>
      <w:r w:rsidRPr="1E7F07F1">
        <w:rPr>
          <w:rFonts w:asciiTheme="minorHAnsi" w:hAnsiTheme="minorHAnsi" w:cstheme="minorBidi"/>
          <w:i/>
          <w:iCs/>
        </w:rPr>
        <w:t>Guide to Institutional Self-Evaluation, Improvement, and Peer Review</w:t>
      </w:r>
      <w:r w:rsidRPr="1E7F07F1">
        <w:rPr>
          <w:rFonts w:asciiTheme="minorHAnsi" w:hAnsiTheme="minorHAnsi" w:cstheme="minorBidi"/>
        </w:rPr>
        <w:t>).</w:t>
      </w:r>
    </w:p>
    <w:p w14:paraId="46F11D3C" w14:textId="2FEBD539" w:rsidR="00BF56E3" w:rsidRDefault="66B1BF34" w:rsidP="66B1BF34">
      <w:pPr>
        <w:pStyle w:val="ListParagraph"/>
        <w:numPr>
          <w:ilvl w:val="0"/>
          <w:numId w:val="13"/>
        </w:numPr>
        <w:rPr>
          <w:rFonts w:asciiTheme="minorHAnsi" w:hAnsiTheme="minorHAnsi" w:cstheme="minorBidi"/>
        </w:rPr>
      </w:pPr>
      <w:r w:rsidRPr="66B1BF34">
        <w:rPr>
          <w:rFonts w:asciiTheme="minorHAnsi" w:hAnsiTheme="minorHAnsi" w:cstheme="minorBidi"/>
        </w:rPr>
        <w:t xml:space="preserve">Since evaluations are a negotiated item and the FA contract states that “no disciplinary action or evaluation will result from these observations,” the Task Force wished to avoid conflating a review process with the evaluation process.  Hence, not all online course sections would undergo review in a discrete time frame.  In addition, the REC rubric will not be used as part of the existing evaluation or special evaluation process since these are negotiated evaluation processes. </w:t>
      </w:r>
    </w:p>
    <w:p w14:paraId="46A645A3" w14:textId="19BB7E15" w:rsidR="1E7F07F1" w:rsidRDefault="1E7F07F1" w:rsidP="1E7F07F1">
      <w:pPr>
        <w:rPr>
          <w:rFonts w:asciiTheme="minorHAnsi" w:hAnsiTheme="minorHAnsi" w:cstheme="minorBidi"/>
        </w:rPr>
      </w:pPr>
    </w:p>
    <w:p w14:paraId="50E725D1" w14:textId="64706575" w:rsidR="00045543" w:rsidRPr="00BF56E3" w:rsidRDefault="004053F0" w:rsidP="1E7F07F1">
      <w:pPr>
        <w:pStyle w:val="ListParagraph"/>
        <w:numPr>
          <w:ilvl w:val="0"/>
          <w:numId w:val="11"/>
        </w:numPr>
        <w:rPr>
          <w:rFonts w:asciiTheme="minorHAnsi" w:hAnsiTheme="minorHAnsi" w:cstheme="minorBidi"/>
        </w:rPr>
      </w:pPr>
      <w:r w:rsidRPr="1E7F07F1">
        <w:rPr>
          <w:rFonts w:asciiTheme="minorHAnsi" w:hAnsiTheme="minorHAnsi" w:cstheme="minorBidi"/>
        </w:rPr>
        <w:lastRenderedPageBreak/>
        <w:t xml:space="preserve">The </w:t>
      </w:r>
      <w:r w:rsidR="00F7751F" w:rsidRPr="1E7F07F1">
        <w:rPr>
          <w:rFonts w:asciiTheme="minorHAnsi" w:hAnsiTheme="minorHAnsi" w:cstheme="minorBidi"/>
        </w:rPr>
        <w:t xml:space="preserve">Academic Senate </w:t>
      </w:r>
      <w:r w:rsidR="00637E56" w:rsidRPr="1E7F07F1">
        <w:rPr>
          <w:rFonts w:asciiTheme="minorHAnsi" w:hAnsiTheme="minorHAnsi" w:cstheme="minorBidi"/>
        </w:rPr>
        <w:t>has identified</w:t>
      </w:r>
      <w:r w:rsidRPr="1E7F07F1">
        <w:rPr>
          <w:rFonts w:asciiTheme="minorHAnsi" w:hAnsiTheme="minorHAnsi" w:cstheme="minorBidi"/>
        </w:rPr>
        <w:t xml:space="preserve"> sustainability</w:t>
      </w:r>
      <w:r w:rsidR="00637E56" w:rsidRPr="1E7F07F1">
        <w:rPr>
          <w:rFonts w:asciiTheme="minorHAnsi" w:hAnsiTheme="minorHAnsi" w:cstheme="minorBidi"/>
        </w:rPr>
        <w:t xml:space="preserve"> as one of three campus-wide priorities for the work of Senate committees</w:t>
      </w:r>
      <w:r w:rsidRPr="1E7F07F1">
        <w:rPr>
          <w:rFonts w:asciiTheme="minorHAnsi" w:hAnsiTheme="minorHAnsi" w:cstheme="minorBidi"/>
        </w:rPr>
        <w:t xml:space="preserve">.  </w:t>
      </w:r>
    </w:p>
    <w:p w14:paraId="60303796" w14:textId="7529DB66" w:rsidR="00E87E95" w:rsidRPr="00E87E95" w:rsidRDefault="004053F0" w:rsidP="1E7F07F1">
      <w:pPr>
        <w:pStyle w:val="ListParagraph"/>
        <w:numPr>
          <w:ilvl w:val="0"/>
          <w:numId w:val="13"/>
        </w:numPr>
        <w:rPr>
          <w:rFonts w:asciiTheme="minorHAnsi" w:hAnsiTheme="minorHAnsi" w:cstheme="minorBidi"/>
        </w:rPr>
      </w:pPr>
      <w:r w:rsidRPr="1E7F07F1">
        <w:rPr>
          <w:rFonts w:asciiTheme="minorHAnsi" w:hAnsiTheme="minorHAnsi" w:cstheme="minorBidi"/>
        </w:rPr>
        <w:t>In an effort to reduce cumbersome</w:t>
      </w:r>
      <w:r w:rsidR="0057649F" w:rsidRPr="1E7F07F1">
        <w:rPr>
          <w:rFonts w:asciiTheme="minorHAnsi" w:hAnsiTheme="minorHAnsi" w:cstheme="minorBidi"/>
        </w:rPr>
        <w:t>,</w:t>
      </w:r>
      <w:r w:rsidRPr="1E7F07F1">
        <w:rPr>
          <w:rFonts w:asciiTheme="minorHAnsi" w:hAnsiTheme="minorHAnsi" w:cstheme="minorBidi"/>
        </w:rPr>
        <w:t xml:space="preserve"> paper-based processes, the Task Force designed a rubric that should be used </w:t>
      </w:r>
      <w:r w:rsidR="0056305B" w:rsidRPr="1E7F07F1">
        <w:rPr>
          <w:rFonts w:asciiTheme="minorHAnsi" w:hAnsiTheme="minorHAnsi" w:cstheme="minorBidi"/>
        </w:rPr>
        <w:t xml:space="preserve">on the computer only and, hopefully, be signed and stored </w:t>
      </w:r>
      <w:r w:rsidR="00F7751F" w:rsidRPr="1E7F07F1">
        <w:rPr>
          <w:rFonts w:asciiTheme="minorHAnsi" w:hAnsiTheme="minorHAnsi" w:cstheme="minorBidi"/>
        </w:rPr>
        <w:t>electronically</w:t>
      </w:r>
      <w:r w:rsidR="0056305B" w:rsidRPr="1E7F07F1">
        <w:rPr>
          <w:rFonts w:asciiTheme="minorHAnsi" w:hAnsiTheme="minorHAnsi" w:cstheme="minorBidi"/>
        </w:rPr>
        <w:t>.</w:t>
      </w:r>
    </w:p>
    <w:p w14:paraId="34D1563A" w14:textId="77777777" w:rsidR="00E36B76" w:rsidRPr="00E87E95" w:rsidRDefault="00E36B76" w:rsidP="00E36B76">
      <w:pPr>
        <w:rPr>
          <w:rFonts w:asciiTheme="minorHAnsi" w:hAnsiTheme="minorHAnsi" w:cstheme="minorHAnsi"/>
        </w:rPr>
      </w:pPr>
    </w:p>
    <w:p w14:paraId="5DE5B5A7" w14:textId="77777777" w:rsidR="00E36B76" w:rsidRPr="00E36B76" w:rsidRDefault="00E36B76" w:rsidP="00E36B76">
      <w:pPr>
        <w:pStyle w:val="Heading2"/>
        <w:jc w:val="center"/>
        <w:rPr>
          <w:b/>
          <w:color w:val="auto"/>
        </w:rPr>
      </w:pPr>
      <w:r w:rsidRPr="00E36B76">
        <w:rPr>
          <w:b/>
          <w:color w:val="auto"/>
        </w:rPr>
        <w:t>List of Resources/People Consulted by the Task Force</w:t>
      </w:r>
    </w:p>
    <w:p w14:paraId="5076A58D" w14:textId="77777777" w:rsidR="00E36B76" w:rsidRPr="00906D7B" w:rsidRDefault="5DD168B9" w:rsidP="1E7F07F1">
      <w:pPr>
        <w:pStyle w:val="Heading2"/>
        <w:rPr>
          <w:rFonts w:asciiTheme="minorHAnsi" w:hAnsiTheme="minorHAnsi" w:cstheme="minorBidi"/>
          <w:b/>
          <w:bCs/>
          <w:i/>
          <w:iCs/>
          <w:color w:val="auto"/>
          <w:sz w:val="24"/>
          <w:szCs w:val="24"/>
        </w:rPr>
      </w:pPr>
      <w:r w:rsidRPr="1E7F07F1">
        <w:rPr>
          <w:rFonts w:asciiTheme="minorHAnsi" w:hAnsiTheme="minorHAnsi" w:cstheme="minorBidi"/>
          <w:b/>
          <w:bCs/>
          <w:i/>
          <w:iCs/>
          <w:color w:val="auto"/>
          <w:sz w:val="24"/>
          <w:szCs w:val="24"/>
        </w:rPr>
        <w:t>Resources:</w:t>
      </w:r>
    </w:p>
    <w:p w14:paraId="72BA02E9" w14:textId="77777777" w:rsidR="00906D7B" w:rsidRPr="0056305B" w:rsidRDefault="003425A7" w:rsidP="1C66B182">
      <w:pPr>
        <w:pStyle w:val="ListParagraph"/>
        <w:numPr>
          <w:ilvl w:val="0"/>
          <w:numId w:val="12"/>
        </w:numPr>
        <w:rPr>
          <w:rFonts w:asciiTheme="minorHAnsi" w:hAnsiTheme="minorHAnsi" w:cstheme="minorBidi"/>
        </w:rPr>
      </w:pPr>
      <w:hyperlink r:id="rId5">
        <w:r w:rsidR="1C66B182" w:rsidRPr="1C66B182">
          <w:rPr>
            <w:rStyle w:val="Hyperlink"/>
            <w:rFonts w:asciiTheme="minorHAnsi" w:hAnsiTheme="minorHAnsi" w:cstheme="minorBidi"/>
          </w:rPr>
          <w:t>Code of Federal Regulations 34 CFR 600</w:t>
        </w:r>
      </w:hyperlink>
      <w:r w:rsidR="1C66B182" w:rsidRPr="1C66B182">
        <w:rPr>
          <w:rFonts w:asciiTheme="minorHAnsi" w:hAnsiTheme="minorHAnsi" w:cstheme="minorBidi"/>
        </w:rPr>
        <w:t>, existing regulations and proposed revisions</w:t>
      </w:r>
    </w:p>
    <w:p w14:paraId="650EAC0A" w14:textId="77777777" w:rsidR="00906D7B" w:rsidRPr="0056305B" w:rsidRDefault="003425A7" w:rsidP="1C66B182">
      <w:pPr>
        <w:pStyle w:val="ListParagraph"/>
        <w:numPr>
          <w:ilvl w:val="0"/>
          <w:numId w:val="12"/>
        </w:numPr>
        <w:rPr>
          <w:rFonts w:asciiTheme="minorHAnsi" w:hAnsiTheme="minorHAnsi" w:cstheme="minorBidi"/>
        </w:rPr>
      </w:pPr>
      <w:hyperlink r:id="rId6">
        <w:r w:rsidR="1C66B182" w:rsidRPr="1C66B182">
          <w:rPr>
            <w:rStyle w:val="Hyperlink"/>
            <w:rFonts w:asciiTheme="minorHAnsi" w:hAnsiTheme="minorHAnsi" w:cstheme="minorBidi"/>
          </w:rPr>
          <w:t>Title 5 55200</w:t>
        </w:r>
      </w:hyperlink>
      <w:r w:rsidR="1C66B182" w:rsidRPr="1C66B182">
        <w:rPr>
          <w:rFonts w:asciiTheme="minorHAnsi" w:hAnsiTheme="minorHAnsi" w:cstheme="minorBidi"/>
        </w:rPr>
        <w:t xml:space="preserve">, including </w:t>
      </w:r>
      <w:hyperlink r:id="rId7" w:anchor="fn1">
        <w:r w:rsidR="1C66B182" w:rsidRPr="1C66B182">
          <w:rPr>
            <w:rStyle w:val="Hyperlink"/>
            <w:rFonts w:asciiTheme="minorHAnsi" w:hAnsiTheme="minorHAnsi" w:cstheme="minorBidi"/>
          </w:rPr>
          <w:t>new language in effect</w:t>
        </w:r>
      </w:hyperlink>
      <w:r w:rsidR="1C66B182" w:rsidRPr="1C66B182">
        <w:rPr>
          <w:rFonts w:asciiTheme="minorHAnsi" w:hAnsiTheme="minorHAnsi" w:cstheme="minorBidi"/>
        </w:rPr>
        <w:t xml:space="preserve"> March 17, 2019</w:t>
      </w:r>
    </w:p>
    <w:p w14:paraId="708D8950" w14:textId="79163F8F" w:rsidR="00635E6A" w:rsidRDefault="003425A7" w:rsidP="1C66B182">
      <w:pPr>
        <w:pStyle w:val="ListParagraph"/>
        <w:numPr>
          <w:ilvl w:val="0"/>
          <w:numId w:val="12"/>
        </w:numPr>
        <w:rPr>
          <w:rFonts w:asciiTheme="minorHAnsi" w:hAnsiTheme="minorHAnsi" w:cstheme="minorBidi"/>
        </w:rPr>
      </w:pPr>
      <w:hyperlink r:id="rId8">
        <w:r w:rsidR="1C66B182" w:rsidRPr="1C66B182">
          <w:rPr>
            <w:rStyle w:val="Hyperlink"/>
            <w:rFonts w:asciiTheme="minorHAnsi" w:hAnsiTheme="minorHAnsi" w:cstheme="minorBidi"/>
          </w:rPr>
          <w:t>ACCJC Policy on Distance Education and on Correspondence Education</w:t>
        </w:r>
      </w:hyperlink>
      <w:r w:rsidR="1C66B182" w:rsidRPr="1C66B182">
        <w:rPr>
          <w:rFonts w:asciiTheme="minorHAnsi" w:hAnsiTheme="minorHAnsi" w:cstheme="minorBidi"/>
        </w:rPr>
        <w:t xml:space="preserve"> August 2012</w:t>
      </w:r>
    </w:p>
    <w:p w14:paraId="7EEADE29" w14:textId="7876FE03" w:rsidR="00906D7B" w:rsidRPr="0056305B" w:rsidRDefault="003425A7" w:rsidP="1C66B182">
      <w:pPr>
        <w:pStyle w:val="ListParagraph"/>
        <w:numPr>
          <w:ilvl w:val="0"/>
          <w:numId w:val="12"/>
        </w:numPr>
        <w:rPr>
          <w:rFonts w:asciiTheme="minorHAnsi" w:hAnsiTheme="minorHAnsi" w:cstheme="minorBidi"/>
        </w:rPr>
      </w:pPr>
      <w:hyperlink r:id="rId9">
        <w:r w:rsidR="1C66B182" w:rsidRPr="1C66B182">
          <w:rPr>
            <w:rStyle w:val="Hyperlink"/>
            <w:rFonts w:asciiTheme="minorHAnsi" w:hAnsiTheme="minorHAnsi" w:cstheme="minorBidi"/>
          </w:rPr>
          <w:t>ACCJC Guide to Institutional Self-Evaluation, Improvement, and Peer Review</w:t>
        </w:r>
      </w:hyperlink>
      <w:r w:rsidR="1C66B182" w:rsidRPr="1C66B182">
        <w:rPr>
          <w:rFonts w:asciiTheme="minorHAnsi" w:hAnsiTheme="minorHAnsi" w:cstheme="minorBidi"/>
        </w:rPr>
        <w:t xml:space="preserve"> September 2018</w:t>
      </w:r>
    </w:p>
    <w:p w14:paraId="1359C5A1" w14:textId="77777777" w:rsidR="00906D7B" w:rsidRPr="0056305B" w:rsidRDefault="1C66B182" w:rsidP="1C66B182">
      <w:pPr>
        <w:pStyle w:val="ListParagraph"/>
        <w:numPr>
          <w:ilvl w:val="0"/>
          <w:numId w:val="12"/>
        </w:numPr>
        <w:rPr>
          <w:rFonts w:asciiTheme="minorHAnsi" w:hAnsiTheme="minorHAnsi" w:cstheme="minorBidi"/>
        </w:rPr>
      </w:pPr>
      <w:r w:rsidRPr="1C66B182">
        <w:rPr>
          <w:rFonts w:asciiTheme="minorHAnsi" w:hAnsiTheme="minorHAnsi" w:cstheme="minorBidi"/>
        </w:rPr>
        <w:t>ASCCC Online Education Committee (“</w:t>
      </w:r>
      <w:hyperlink r:id="rId10">
        <w:r w:rsidRPr="1C66B182">
          <w:rPr>
            <w:rStyle w:val="Hyperlink"/>
            <w:rFonts w:asciiTheme="minorHAnsi" w:hAnsiTheme="minorHAnsi" w:cstheme="minorBidi"/>
          </w:rPr>
          <w:t>Ensuring an Effective Online Program: A Faculty Perspective</w:t>
        </w:r>
      </w:hyperlink>
      <w:r w:rsidRPr="1C66B182">
        <w:rPr>
          <w:rFonts w:asciiTheme="minorHAnsi" w:hAnsiTheme="minorHAnsi" w:cstheme="minorBidi"/>
        </w:rPr>
        <w:t>” and “Regular and Effective Contact” presentation)</w:t>
      </w:r>
    </w:p>
    <w:p w14:paraId="75FF7957" w14:textId="77777777" w:rsidR="00906D7B" w:rsidRPr="0056305B" w:rsidRDefault="306AB79F" w:rsidP="306AB79F">
      <w:pPr>
        <w:pStyle w:val="ListParagraph"/>
        <w:numPr>
          <w:ilvl w:val="0"/>
          <w:numId w:val="12"/>
        </w:numPr>
        <w:rPr>
          <w:rFonts w:asciiTheme="minorHAnsi" w:hAnsiTheme="minorHAnsi" w:cstheme="minorBidi"/>
        </w:rPr>
      </w:pPr>
      <w:r w:rsidRPr="306AB79F">
        <w:rPr>
          <w:rFonts w:asciiTheme="minorHAnsi" w:hAnsiTheme="minorHAnsi" w:cstheme="minorBidi"/>
        </w:rPr>
        <w:t xml:space="preserve">FERPA guidelines from both </w:t>
      </w:r>
      <w:hyperlink r:id="rId11">
        <w:r w:rsidRPr="306AB79F">
          <w:rPr>
            <w:rStyle w:val="Hyperlink"/>
            <w:rFonts w:asciiTheme="minorHAnsi" w:hAnsiTheme="minorHAnsi" w:cstheme="minorBidi"/>
          </w:rPr>
          <w:t>DoE</w:t>
        </w:r>
      </w:hyperlink>
      <w:r w:rsidRPr="306AB79F">
        <w:rPr>
          <w:rFonts w:asciiTheme="minorHAnsi" w:hAnsiTheme="minorHAnsi" w:cstheme="minorBidi"/>
        </w:rPr>
        <w:t xml:space="preserve"> and </w:t>
      </w:r>
      <w:hyperlink r:id="rId12">
        <w:r w:rsidRPr="306AB79F">
          <w:rPr>
            <w:rStyle w:val="Hyperlink"/>
            <w:rFonts w:asciiTheme="minorHAnsi" w:hAnsiTheme="minorHAnsi" w:cstheme="minorBidi"/>
          </w:rPr>
          <w:t>California DoE</w:t>
        </w:r>
      </w:hyperlink>
    </w:p>
    <w:p w14:paraId="64DF0639" w14:textId="78A12BFD" w:rsidR="00EB3DDB" w:rsidRPr="0056305B" w:rsidRDefault="003425A7" w:rsidP="1C66B182">
      <w:pPr>
        <w:pStyle w:val="ListParagraph"/>
        <w:numPr>
          <w:ilvl w:val="0"/>
          <w:numId w:val="12"/>
        </w:numPr>
        <w:rPr>
          <w:rFonts w:asciiTheme="minorHAnsi" w:hAnsiTheme="minorHAnsi" w:cstheme="minorBidi"/>
        </w:rPr>
      </w:pPr>
      <w:hyperlink r:id="rId13">
        <w:r w:rsidR="306AB79F" w:rsidRPr="306AB79F">
          <w:rPr>
            <w:rStyle w:val="Hyperlink"/>
            <w:rFonts w:asciiTheme="minorHAnsi" w:hAnsiTheme="minorHAnsi" w:cstheme="minorBidi"/>
          </w:rPr>
          <w:t>CVC-OEI Course Design Rubric</w:t>
        </w:r>
      </w:hyperlink>
      <w:r w:rsidR="306AB79F" w:rsidRPr="306AB79F">
        <w:rPr>
          <w:rFonts w:asciiTheme="minorHAnsi" w:hAnsiTheme="minorHAnsi" w:cstheme="minorBidi"/>
        </w:rPr>
        <w:t>, last revised October 2018</w:t>
      </w:r>
    </w:p>
    <w:p w14:paraId="64B4E2E2" w14:textId="6C9CB9B2" w:rsidR="00906D7B" w:rsidRPr="00CD5944" w:rsidRDefault="306AB79F" w:rsidP="306AB79F">
      <w:pPr>
        <w:pStyle w:val="ListParagraph"/>
        <w:numPr>
          <w:ilvl w:val="0"/>
          <w:numId w:val="12"/>
        </w:numPr>
      </w:pPr>
      <w:proofErr w:type="spellStart"/>
      <w:r w:rsidRPr="306AB79F">
        <w:rPr>
          <w:rFonts w:asciiTheme="minorHAnsi" w:hAnsiTheme="minorHAnsi" w:cstheme="minorBidi"/>
        </w:rPr>
        <w:t>Roblyer</w:t>
      </w:r>
      <w:proofErr w:type="spellEnd"/>
      <w:r w:rsidRPr="306AB79F">
        <w:rPr>
          <w:rFonts w:asciiTheme="minorHAnsi" w:hAnsiTheme="minorHAnsi" w:cstheme="minorBidi"/>
        </w:rPr>
        <w:t xml:space="preserve">, M. D., &amp; </w:t>
      </w:r>
      <w:proofErr w:type="spellStart"/>
      <w:r w:rsidRPr="306AB79F">
        <w:rPr>
          <w:rFonts w:asciiTheme="minorHAnsi" w:hAnsiTheme="minorHAnsi" w:cstheme="minorBidi"/>
        </w:rPr>
        <w:t>Ekhaml</w:t>
      </w:r>
      <w:proofErr w:type="spellEnd"/>
      <w:r w:rsidRPr="306AB79F">
        <w:rPr>
          <w:rFonts w:asciiTheme="minorHAnsi" w:hAnsiTheme="minorHAnsi" w:cstheme="minorBidi"/>
        </w:rPr>
        <w:t xml:space="preserve">, L. (2000). How interactive are your distance courses? A rubric for assessing interaction in distance learning. </w:t>
      </w:r>
      <w:r w:rsidRPr="306AB79F">
        <w:rPr>
          <w:rFonts w:asciiTheme="minorHAnsi" w:hAnsiTheme="minorHAnsi" w:cstheme="minorBidi"/>
          <w:i/>
          <w:iCs/>
        </w:rPr>
        <w:t>Online Journal of Distance Learning Administration</w:t>
      </w:r>
      <w:r w:rsidRPr="306AB79F">
        <w:rPr>
          <w:rFonts w:asciiTheme="minorHAnsi" w:hAnsiTheme="minorHAnsi" w:cstheme="minorBidi"/>
        </w:rPr>
        <w:t xml:space="preserve">, </w:t>
      </w:r>
      <w:proofErr w:type="gramStart"/>
      <w:r w:rsidRPr="306AB79F">
        <w:rPr>
          <w:rFonts w:asciiTheme="minorHAnsi" w:hAnsiTheme="minorHAnsi" w:cstheme="minorBidi"/>
          <w:i/>
          <w:iCs/>
        </w:rPr>
        <w:t>III</w:t>
      </w:r>
      <w:r w:rsidRPr="306AB79F">
        <w:rPr>
          <w:rFonts w:asciiTheme="minorHAnsi" w:hAnsiTheme="minorHAnsi" w:cstheme="minorBidi"/>
        </w:rPr>
        <w:t>(</w:t>
      </w:r>
      <w:proofErr w:type="gramEnd"/>
      <w:r w:rsidRPr="306AB79F">
        <w:rPr>
          <w:rFonts w:asciiTheme="minorHAnsi" w:hAnsiTheme="minorHAnsi" w:cstheme="minorBidi"/>
        </w:rPr>
        <w:t xml:space="preserve">II), 1-6. Retrieved from </w:t>
      </w:r>
      <w:hyperlink r:id="rId14">
        <w:r w:rsidRPr="306AB79F">
          <w:rPr>
            <w:rStyle w:val="Hyperlink"/>
            <w:rFonts w:asciiTheme="minorHAnsi" w:hAnsiTheme="minorHAnsi" w:cstheme="minorBidi"/>
          </w:rPr>
          <w:t>https://www.westga.edu/~distance/ojdla/summer32/roblyer32.pdf</w:t>
        </w:r>
      </w:hyperlink>
    </w:p>
    <w:p w14:paraId="6146C57F" w14:textId="79FBA95B" w:rsidR="00906D7B" w:rsidRPr="00CD5944" w:rsidRDefault="1C66B182" w:rsidP="1C66B182">
      <w:pPr>
        <w:pStyle w:val="ListParagraph"/>
        <w:numPr>
          <w:ilvl w:val="0"/>
          <w:numId w:val="12"/>
        </w:numPr>
      </w:pPr>
      <w:r w:rsidRPr="1C66B182">
        <w:rPr>
          <w:rFonts w:asciiTheme="minorHAnsi" w:hAnsiTheme="minorHAnsi" w:cstheme="minorBidi"/>
        </w:rPr>
        <w:t xml:space="preserve">Mt. SAC </w:t>
      </w:r>
      <w:hyperlink r:id="rId15">
        <w:r w:rsidRPr="1C66B182">
          <w:rPr>
            <w:rStyle w:val="Hyperlink"/>
            <w:rFonts w:asciiTheme="minorHAnsi" w:hAnsiTheme="minorHAnsi" w:cstheme="minorBidi"/>
          </w:rPr>
          <w:t>AP 4105 Distance Learning</w:t>
        </w:r>
      </w:hyperlink>
    </w:p>
    <w:p w14:paraId="65A7F6CD" w14:textId="668A4513" w:rsidR="1C66B182" w:rsidRDefault="1C66B182" w:rsidP="1C66B182">
      <w:pPr>
        <w:rPr>
          <w:rFonts w:asciiTheme="minorHAnsi" w:hAnsiTheme="minorHAnsi" w:cstheme="minorBidi"/>
          <w:b/>
          <w:bCs/>
          <w:i/>
          <w:iCs/>
        </w:rPr>
      </w:pPr>
    </w:p>
    <w:p w14:paraId="731388B4" w14:textId="1D3D6CE4" w:rsidR="00906D7B" w:rsidRDefault="00906D7B" w:rsidP="00906D7B">
      <w:pPr>
        <w:rPr>
          <w:rFonts w:asciiTheme="minorHAnsi" w:hAnsiTheme="minorHAnsi" w:cstheme="minorHAnsi"/>
        </w:rPr>
      </w:pPr>
      <w:r w:rsidRPr="00906D7B">
        <w:rPr>
          <w:rFonts w:asciiTheme="minorHAnsi" w:hAnsiTheme="minorHAnsi" w:cstheme="minorHAnsi"/>
          <w:b/>
          <w:i/>
        </w:rPr>
        <w:t>People</w:t>
      </w:r>
      <w:proofErr w:type="gramStart"/>
      <w:r w:rsidRPr="00906D7B">
        <w:rPr>
          <w:rFonts w:asciiTheme="minorHAnsi" w:hAnsiTheme="minorHAnsi" w:cstheme="minorHAnsi"/>
          <w:b/>
          <w:i/>
        </w:rPr>
        <w:t>:</w:t>
      </w:r>
      <w:proofErr w:type="gramEnd"/>
      <w:r>
        <w:rPr>
          <w:rFonts w:asciiTheme="minorHAnsi" w:hAnsiTheme="minorHAnsi" w:cstheme="minorHAnsi"/>
        </w:rPr>
        <w:br/>
        <w:t>Eric Kaljumagi, Faculty Association President</w:t>
      </w:r>
      <w:r w:rsidR="00383625">
        <w:rPr>
          <w:rFonts w:asciiTheme="minorHAnsi" w:hAnsiTheme="minorHAnsi" w:cstheme="minorHAnsi"/>
        </w:rPr>
        <w:t xml:space="preserve"> (2018-2019)</w:t>
      </w:r>
    </w:p>
    <w:p w14:paraId="73861D48" w14:textId="77777777" w:rsidR="00CD5944" w:rsidRDefault="00906D7B" w:rsidP="00906D7B">
      <w:pPr>
        <w:rPr>
          <w:rFonts w:asciiTheme="minorHAnsi" w:hAnsiTheme="minorHAnsi" w:cstheme="minorHAnsi"/>
        </w:rPr>
      </w:pPr>
      <w:proofErr w:type="spellStart"/>
      <w:r>
        <w:rPr>
          <w:rFonts w:asciiTheme="minorHAnsi" w:hAnsiTheme="minorHAnsi" w:cstheme="minorHAnsi"/>
        </w:rPr>
        <w:t>Chisa</w:t>
      </w:r>
      <w:proofErr w:type="spellEnd"/>
      <w:r>
        <w:rPr>
          <w:rFonts w:asciiTheme="minorHAnsi" w:hAnsiTheme="minorHAnsi" w:cstheme="minorHAnsi"/>
        </w:rPr>
        <w:t xml:space="preserve"> Uyeki, Academic Senate President</w:t>
      </w:r>
    </w:p>
    <w:p w14:paraId="22465975" w14:textId="2923381D" w:rsidR="00E36B76" w:rsidRPr="00906D7B" w:rsidRDefault="1C66B182" w:rsidP="00E36B76">
      <w:pPr>
        <w:rPr>
          <w:rFonts w:asciiTheme="minorHAnsi" w:hAnsiTheme="minorHAnsi" w:cstheme="minorHAnsi"/>
        </w:rPr>
      </w:pPr>
      <w:r w:rsidRPr="1C66B182">
        <w:rPr>
          <w:rFonts w:asciiTheme="minorHAnsi" w:hAnsiTheme="minorHAnsi" w:cstheme="minorBidi"/>
        </w:rPr>
        <w:t xml:space="preserve">Joan Sholars, Faculty Association President (2019-20) </w:t>
      </w:r>
    </w:p>
    <w:p w14:paraId="205BB952" w14:textId="3EAF1C4E" w:rsidR="1C66B182" w:rsidRDefault="1C66B182" w:rsidP="1C66B182">
      <w:pPr>
        <w:pStyle w:val="Heading2"/>
        <w:jc w:val="center"/>
        <w:rPr>
          <w:b/>
          <w:bCs/>
          <w:color w:val="auto"/>
        </w:rPr>
      </w:pPr>
    </w:p>
    <w:p w14:paraId="7FE2A548" w14:textId="77777777" w:rsidR="00E36B76" w:rsidRPr="00E36B76" w:rsidRDefault="00E36B76" w:rsidP="00E36B76">
      <w:pPr>
        <w:pStyle w:val="Heading2"/>
        <w:jc w:val="center"/>
        <w:rPr>
          <w:b/>
          <w:color w:val="auto"/>
        </w:rPr>
      </w:pPr>
      <w:r w:rsidRPr="00E36B76">
        <w:rPr>
          <w:b/>
          <w:color w:val="auto"/>
        </w:rPr>
        <w:t>Specific, Achievable Recommendations</w:t>
      </w:r>
    </w:p>
    <w:p w14:paraId="34EBBBCF" w14:textId="77777777" w:rsidR="00E36B76" w:rsidRDefault="00C74361" w:rsidP="00C74361">
      <w:pPr>
        <w:pStyle w:val="Heading2"/>
        <w:rPr>
          <w:rFonts w:asciiTheme="minorHAnsi" w:hAnsiTheme="minorHAnsi" w:cstheme="minorHAnsi"/>
          <w:color w:val="auto"/>
          <w:sz w:val="24"/>
          <w:szCs w:val="24"/>
        </w:rPr>
      </w:pPr>
      <w:r>
        <w:rPr>
          <w:rFonts w:asciiTheme="minorHAnsi" w:hAnsiTheme="minorHAnsi" w:cstheme="minorHAnsi"/>
          <w:color w:val="auto"/>
          <w:sz w:val="24"/>
          <w:szCs w:val="24"/>
        </w:rPr>
        <w:t>The Regular and Effective Task Force makes the following recommendations:</w:t>
      </w:r>
    </w:p>
    <w:p w14:paraId="4D2E0285" w14:textId="77777777" w:rsidR="005A47FB" w:rsidRPr="005A47FB" w:rsidRDefault="00C74361" w:rsidP="005A47FB">
      <w:pPr>
        <w:pStyle w:val="ListParagraph"/>
        <w:numPr>
          <w:ilvl w:val="0"/>
          <w:numId w:val="10"/>
        </w:numPr>
      </w:pPr>
      <w:r w:rsidRPr="7627B11B">
        <w:rPr>
          <w:rFonts w:asciiTheme="minorHAnsi" w:hAnsiTheme="minorHAnsi" w:cstheme="minorBidi"/>
        </w:rPr>
        <w:t>That the REC rubric created by the Task Force be adopted as the rubric used to fulfill 13A.4.</w:t>
      </w:r>
    </w:p>
    <w:p w14:paraId="623A2C6E" w14:textId="7FE48021" w:rsidR="448118C0" w:rsidRDefault="448118C0" w:rsidP="7627B11B">
      <w:pPr>
        <w:pStyle w:val="ListParagraph"/>
        <w:numPr>
          <w:ilvl w:val="0"/>
          <w:numId w:val="10"/>
        </w:numPr>
      </w:pPr>
      <w:r w:rsidRPr="7627B11B">
        <w:rPr>
          <w:rFonts w:asciiTheme="minorHAnsi" w:hAnsiTheme="minorHAnsi" w:cstheme="minorBidi"/>
        </w:rPr>
        <w:t>That the changes proposed to the REC section in AP 4105 be adopted;</w:t>
      </w:r>
    </w:p>
    <w:p w14:paraId="1C4292F1" w14:textId="00E669D6" w:rsidR="00600825" w:rsidRPr="005A47FB" w:rsidRDefault="005A47FB" w:rsidP="005A47FB">
      <w:pPr>
        <w:pStyle w:val="ListParagraph"/>
        <w:numPr>
          <w:ilvl w:val="0"/>
          <w:numId w:val="10"/>
        </w:numPr>
      </w:pPr>
      <w:r w:rsidRPr="7627B11B">
        <w:rPr>
          <w:rFonts w:asciiTheme="minorHAnsi" w:hAnsiTheme="minorHAnsi" w:cstheme="minorBidi"/>
        </w:rPr>
        <w:t>That the process designed by the collaborative workgroup:</w:t>
      </w:r>
    </w:p>
    <w:p w14:paraId="6990A0A6" w14:textId="342C5F0A" w:rsidR="008039FA" w:rsidRPr="005A47FB" w:rsidRDefault="008039FA" w:rsidP="1E7F07F1">
      <w:pPr>
        <w:pStyle w:val="ListParagraph"/>
        <w:numPr>
          <w:ilvl w:val="0"/>
          <w:numId w:val="13"/>
        </w:numPr>
        <w:rPr>
          <w:rFonts w:asciiTheme="minorHAnsi" w:hAnsiTheme="minorHAnsi" w:cstheme="minorBidi"/>
        </w:rPr>
      </w:pPr>
      <w:r w:rsidRPr="1E7F07F1">
        <w:rPr>
          <w:rFonts w:asciiTheme="minorHAnsi" w:hAnsiTheme="minorHAnsi" w:cstheme="minorBidi"/>
        </w:rPr>
        <w:t>Avoids all similarities to the current negotiated evaluation process for faculty;</w:t>
      </w:r>
    </w:p>
    <w:p w14:paraId="1BB71C1B" w14:textId="4AF2C667" w:rsidR="008039FA" w:rsidRDefault="008039FA" w:rsidP="1E7F07F1">
      <w:pPr>
        <w:pStyle w:val="ListParagraph"/>
        <w:numPr>
          <w:ilvl w:val="0"/>
          <w:numId w:val="13"/>
        </w:numPr>
        <w:rPr>
          <w:rFonts w:asciiTheme="minorHAnsi" w:hAnsiTheme="minorHAnsi" w:cstheme="minorBidi"/>
        </w:rPr>
      </w:pPr>
      <w:r w:rsidRPr="1E7F07F1">
        <w:rPr>
          <w:rFonts w:asciiTheme="minorHAnsi" w:hAnsiTheme="minorHAnsi" w:cstheme="minorBidi"/>
        </w:rPr>
        <w:t>Allows faculty or departments to volunteer their courses prior to accreditation review, similar to the “Preflight Check” that was done before the last accreditation visit;</w:t>
      </w:r>
    </w:p>
    <w:p w14:paraId="76382E0F" w14:textId="6BC131E9" w:rsidR="008039FA" w:rsidRDefault="66B1BF34" w:rsidP="66B1BF34">
      <w:pPr>
        <w:pStyle w:val="ListParagraph"/>
        <w:numPr>
          <w:ilvl w:val="0"/>
          <w:numId w:val="13"/>
        </w:numPr>
        <w:rPr>
          <w:rFonts w:asciiTheme="minorHAnsi" w:hAnsiTheme="minorHAnsi" w:cstheme="minorBidi"/>
        </w:rPr>
      </w:pPr>
      <w:r w:rsidRPr="66B1BF34">
        <w:rPr>
          <w:rFonts w:asciiTheme="minorHAnsi" w:hAnsiTheme="minorHAnsi" w:cstheme="minorBidi"/>
        </w:rPr>
        <w:t>Uses the ACCJC definition of peer reviewer to require SPOT-certified faculty as reviewers, rather than administrators;</w:t>
      </w:r>
    </w:p>
    <w:p w14:paraId="410BF6FA" w14:textId="7DF83F64" w:rsidR="00600825" w:rsidRDefault="005A47FB" w:rsidP="1E7F07F1">
      <w:pPr>
        <w:pStyle w:val="ListParagraph"/>
        <w:numPr>
          <w:ilvl w:val="0"/>
          <w:numId w:val="13"/>
        </w:numPr>
        <w:rPr>
          <w:rFonts w:asciiTheme="minorHAnsi" w:hAnsiTheme="minorHAnsi" w:cstheme="minorBidi"/>
        </w:rPr>
      </w:pPr>
      <w:r w:rsidRPr="1E7F07F1">
        <w:rPr>
          <w:rFonts w:asciiTheme="minorHAnsi" w:hAnsiTheme="minorHAnsi" w:cstheme="minorBidi"/>
        </w:rPr>
        <w:t>I</w:t>
      </w:r>
      <w:r w:rsidR="00600825" w:rsidRPr="1E7F07F1">
        <w:rPr>
          <w:rFonts w:asciiTheme="minorHAnsi" w:hAnsiTheme="minorHAnsi" w:cstheme="minorBidi"/>
        </w:rPr>
        <w:t>s not reliant on a “trigger,” which implie</w:t>
      </w:r>
      <w:r w:rsidR="4087BA81" w:rsidRPr="1E7F07F1">
        <w:rPr>
          <w:rFonts w:asciiTheme="minorHAnsi" w:hAnsiTheme="minorHAnsi" w:cstheme="minorBidi"/>
        </w:rPr>
        <w:t>s</w:t>
      </w:r>
      <w:r w:rsidR="00600825" w:rsidRPr="1E7F07F1">
        <w:rPr>
          <w:rFonts w:asciiTheme="minorHAnsi" w:hAnsiTheme="minorHAnsi" w:cstheme="minorBidi"/>
        </w:rPr>
        <w:t xml:space="preserve"> a need for a special evaluation;</w:t>
      </w:r>
    </w:p>
    <w:p w14:paraId="44B412A8" w14:textId="61E2ACD4" w:rsidR="005A47FB" w:rsidRDefault="005A47FB" w:rsidP="1E7F07F1">
      <w:pPr>
        <w:pStyle w:val="ListParagraph"/>
        <w:numPr>
          <w:ilvl w:val="0"/>
          <w:numId w:val="13"/>
        </w:numPr>
        <w:rPr>
          <w:rFonts w:asciiTheme="minorHAnsi" w:hAnsiTheme="minorHAnsi" w:cstheme="minorBidi"/>
        </w:rPr>
      </w:pPr>
      <w:r w:rsidRPr="1E7F07F1">
        <w:rPr>
          <w:rFonts w:asciiTheme="minorHAnsi" w:hAnsiTheme="minorHAnsi" w:cstheme="minorBidi"/>
        </w:rPr>
        <w:t>Does not require that all course sections are re</w:t>
      </w:r>
      <w:r w:rsidR="008039FA" w:rsidRPr="1E7F07F1">
        <w:rPr>
          <w:rFonts w:asciiTheme="minorHAnsi" w:hAnsiTheme="minorHAnsi" w:cstheme="minorBidi"/>
        </w:rPr>
        <w:t>viewed in a discrete time frame.</w:t>
      </w:r>
    </w:p>
    <w:p w14:paraId="4DD8F7F6" w14:textId="655F1D7D" w:rsidR="0056305B" w:rsidRPr="00C74361" w:rsidRDefault="050D3DFA" w:rsidP="00C74361">
      <w:pPr>
        <w:pStyle w:val="ListParagraph"/>
        <w:numPr>
          <w:ilvl w:val="0"/>
          <w:numId w:val="10"/>
        </w:numPr>
      </w:pPr>
      <w:r w:rsidRPr="7627B11B">
        <w:rPr>
          <w:rFonts w:asciiTheme="minorHAnsi" w:hAnsiTheme="minorHAnsi" w:cstheme="minorBidi"/>
        </w:rPr>
        <w:lastRenderedPageBreak/>
        <w:t>That the District create easy-to-use, fillable forms that can be electronically signed and stored to minimize paper waste.</w:t>
      </w:r>
    </w:p>
    <w:p w14:paraId="480C0F81" w14:textId="77777777" w:rsidR="00C74361" w:rsidRPr="00C74361" w:rsidRDefault="00C74361" w:rsidP="00C74361"/>
    <w:p w14:paraId="11BBA53A" w14:textId="77777777" w:rsidR="00E36B76" w:rsidRPr="00E36B76" w:rsidRDefault="00E36B76" w:rsidP="00E36B76">
      <w:pPr>
        <w:jc w:val="both"/>
      </w:pPr>
    </w:p>
    <w:p w14:paraId="621D8720" w14:textId="0262264A" w:rsidR="00E36B76" w:rsidRPr="00444A12" w:rsidRDefault="00E36B76" w:rsidP="00444A12">
      <w:pPr>
        <w:pStyle w:val="Heading2"/>
        <w:jc w:val="center"/>
        <w:rPr>
          <w:b/>
          <w:color w:val="auto"/>
        </w:rPr>
      </w:pPr>
      <w:r w:rsidRPr="00E36B76">
        <w:rPr>
          <w:b/>
          <w:color w:val="auto"/>
        </w:rPr>
        <w:t>Statement of Disagreement/Concern by One or More Members of the Task Force</w:t>
      </w:r>
    </w:p>
    <w:sectPr w:rsidR="00E36B76" w:rsidRPr="00444A12">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F55FB0F" w16cid:durableId="053A31EE"/>
  <w16cid:commentId w16cid:paraId="4309FF92" w16cid:durableId="14712059"/>
  <w16cid:commentId w16cid:paraId="6483BFB6" w16cid:durableId="024AA15E"/>
  <w16cid:commentId w16cid:paraId="74E62A48" w16cid:durableId="7D8E6766"/>
  <w16cid:commentId w16cid:paraId="1CC1C2DF" w16cid:durableId="1FA2CEC0"/>
  <w16cid:commentId w16cid:paraId="07CDB931" w16cid:durableId="58D5069E"/>
  <w16cid:commentId w16cid:paraId="470F6D57" w16cid:durableId="7D52A31E"/>
  <w16cid:commentId w16cid:paraId="16244CDA" w16cid:durableId="4BBFC11A"/>
  <w16cid:commentId w16cid:paraId="6DC64FC0" w16cid:durableId="79BB1226"/>
  <w16cid:commentId w16cid:paraId="45CE1C38" w16cid:durableId="46EEB159"/>
  <w16cid:commentId w16cid:paraId="33A9BD2C" w16cid:durableId="3E20EB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291F"/>
    <w:multiLevelType w:val="hybridMultilevel"/>
    <w:tmpl w:val="A9C097B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D32E3E"/>
    <w:multiLevelType w:val="hybridMultilevel"/>
    <w:tmpl w:val="818EBB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A344DF7"/>
    <w:multiLevelType w:val="hybridMultilevel"/>
    <w:tmpl w:val="7F0C8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47710"/>
    <w:multiLevelType w:val="multilevel"/>
    <w:tmpl w:val="EB748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F4E19"/>
    <w:multiLevelType w:val="hybridMultilevel"/>
    <w:tmpl w:val="EFD67FEA"/>
    <w:lvl w:ilvl="0" w:tplc="5A18C908">
      <w:start w:val="1"/>
      <w:numFmt w:val="decimal"/>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44287749"/>
    <w:multiLevelType w:val="hybridMultilevel"/>
    <w:tmpl w:val="CB32F1F4"/>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054783"/>
    <w:multiLevelType w:val="hybridMultilevel"/>
    <w:tmpl w:val="70BA2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C80C57"/>
    <w:multiLevelType w:val="hybridMultilevel"/>
    <w:tmpl w:val="1480B188"/>
    <w:lvl w:ilvl="0" w:tplc="6096D466">
      <w:start w:val="1"/>
      <w:numFmt w:val="decimal"/>
      <w:lvlText w:val="%1."/>
      <w:lvlJc w:val="left"/>
      <w:pPr>
        <w:ind w:left="720" w:hanging="360"/>
      </w:pPr>
    </w:lvl>
    <w:lvl w:ilvl="1" w:tplc="0F8A6402">
      <w:start w:val="1"/>
      <w:numFmt w:val="lowerLetter"/>
      <w:lvlText w:val="%2."/>
      <w:lvlJc w:val="left"/>
      <w:pPr>
        <w:ind w:left="1440" w:hanging="360"/>
      </w:pPr>
    </w:lvl>
    <w:lvl w:ilvl="2" w:tplc="09E4E61E">
      <w:start w:val="1"/>
      <w:numFmt w:val="lowerRoman"/>
      <w:lvlText w:val="%3."/>
      <w:lvlJc w:val="right"/>
      <w:pPr>
        <w:ind w:left="2160" w:hanging="180"/>
      </w:pPr>
    </w:lvl>
    <w:lvl w:ilvl="3" w:tplc="BAF02020">
      <w:start w:val="1"/>
      <w:numFmt w:val="decimal"/>
      <w:lvlText w:val="%4."/>
      <w:lvlJc w:val="left"/>
      <w:pPr>
        <w:ind w:left="2880" w:hanging="360"/>
      </w:pPr>
    </w:lvl>
    <w:lvl w:ilvl="4" w:tplc="B16C15E6">
      <w:start w:val="1"/>
      <w:numFmt w:val="lowerLetter"/>
      <w:lvlText w:val="%5."/>
      <w:lvlJc w:val="left"/>
      <w:pPr>
        <w:ind w:left="3600" w:hanging="360"/>
      </w:pPr>
    </w:lvl>
    <w:lvl w:ilvl="5" w:tplc="5FCEC93E">
      <w:start w:val="1"/>
      <w:numFmt w:val="lowerRoman"/>
      <w:lvlText w:val="%6."/>
      <w:lvlJc w:val="right"/>
      <w:pPr>
        <w:ind w:left="4320" w:hanging="180"/>
      </w:pPr>
    </w:lvl>
    <w:lvl w:ilvl="6" w:tplc="D7A0AC04">
      <w:start w:val="1"/>
      <w:numFmt w:val="decimal"/>
      <w:lvlText w:val="%7."/>
      <w:lvlJc w:val="left"/>
      <w:pPr>
        <w:ind w:left="5040" w:hanging="360"/>
      </w:pPr>
    </w:lvl>
    <w:lvl w:ilvl="7" w:tplc="AC7EE674">
      <w:start w:val="1"/>
      <w:numFmt w:val="lowerLetter"/>
      <w:lvlText w:val="%8."/>
      <w:lvlJc w:val="left"/>
      <w:pPr>
        <w:ind w:left="5760" w:hanging="360"/>
      </w:pPr>
    </w:lvl>
    <w:lvl w:ilvl="8" w:tplc="7B086952">
      <w:start w:val="1"/>
      <w:numFmt w:val="lowerRoman"/>
      <w:lvlText w:val="%9."/>
      <w:lvlJc w:val="right"/>
      <w:pPr>
        <w:ind w:left="6480" w:hanging="180"/>
      </w:pPr>
    </w:lvl>
  </w:abstractNum>
  <w:abstractNum w:abstractNumId="8" w15:restartNumberingAfterBreak="0">
    <w:nsid w:val="59986BBF"/>
    <w:multiLevelType w:val="hybridMultilevel"/>
    <w:tmpl w:val="7D70B78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2953B7F"/>
    <w:multiLevelType w:val="hybridMultilevel"/>
    <w:tmpl w:val="679E95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9F75CD"/>
    <w:multiLevelType w:val="hybridMultilevel"/>
    <w:tmpl w:val="A7C6C9CC"/>
    <w:lvl w:ilvl="0" w:tplc="04090001">
      <w:start w:val="1"/>
      <w:numFmt w:val="bullet"/>
      <w:lvlText w:val=""/>
      <w:lvlJc w:val="left"/>
      <w:pPr>
        <w:ind w:left="1440" w:hanging="360"/>
      </w:pPr>
      <w:rPr>
        <w:rFonts w:ascii="Symbol" w:hAnsi="Symbol" w:hint="default"/>
      </w:rPr>
    </w:lvl>
    <w:lvl w:ilvl="1" w:tplc="610ECD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243FD"/>
    <w:multiLevelType w:val="hybridMultilevel"/>
    <w:tmpl w:val="2A2E914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11"/>
  </w:num>
  <w:num w:numId="3">
    <w:abstractNumId w:val="8"/>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0"/>
  </w:num>
  <w:num w:numId="9">
    <w:abstractNumId w:val="6"/>
  </w:num>
  <w:num w:numId="10">
    <w:abstractNumId w:val="2"/>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F"/>
    <w:rsid w:val="00007B3C"/>
    <w:rsid w:val="00045543"/>
    <w:rsid w:val="00050EB7"/>
    <w:rsid w:val="00077BD5"/>
    <w:rsid w:val="00092045"/>
    <w:rsid w:val="000B2C32"/>
    <w:rsid w:val="000B409F"/>
    <w:rsid w:val="00117820"/>
    <w:rsid w:val="0016093B"/>
    <w:rsid w:val="0022672A"/>
    <w:rsid w:val="0024545D"/>
    <w:rsid w:val="0028247B"/>
    <w:rsid w:val="00310425"/>
    <w:rsid w:val="0033445C"/>
    <w:rsid w:val="003425A7"/>
    <w:rsid w:val="00383625"/>
    <w:rsid w:val="00386476"/>
    <w:rsid w:val="003B09DD"/>
    <w:rsid w:val="003B264C"/>
    <w:rsid w:val="003B3064"/>
    <w:rsid w:val="004053F0"/>
    <w:rsid w:val="00434088"/>
    <w:rsid w:val="00444126"/>
    <w:rsid w:val="00444A12"/>
    <w:rsid w:val="00461279"/>
    <w:rsid w:val="0046246A"/>
    <w:rsid w:val="00467DB6"/>
    <w:rsid w:val="004C3A77"/>
    <w:rsid w:val="005070BD"/>
    <w:rsid w:val="005138B3"/>
    <w:rsid w:val="00523EB1"/>
    <w:rsid w:val="0056305B"/>
    <w:rsid w:val="0057649F"/>
    <w:rsid w:val="005866CC"/>
    <w:rsid w:val="005A47FB"/>
    <w:rsid w:val="005A7000"/>
    <w:rsid w:val="005B477D"/>
    <w:rsid w:val="005D227C"/>
    <w:rsid w:val="00600825"/>
    <w:rsid w:val="00624FA7"/>
    <w:rsid w:val="00635E6A"/>
    <w:rsid w:val="00637E56"/>
    <w:rsid w:val="006D3209"/>
    <w:rsid w:val="006F7809"/>
    <w:rsid w:val="00764FD2"/>
    <w:rsid w:val="008039FA"/>
    <w:rsid w:val="00906D7B"/>
    <w:rsid w:val="00A12775"/>
    <w:rsid w:val="00B21DD8"/>
    <w:rsid w:val="00BC292E"/>
    <w:rsid w:val="00BF56E3"/>
    <w:rsid w:val="00C27AF4"/>
    <w:rsid w:val="00C45BB8"/>
    <w:rsid w:val="00C74361"/>
    <w:rsid w:val="00C848A7"/>
    <w:rsid w:val="00C96054"/>
    <w:rsid w:val="00CD5944"/>
    <w:rsid w:val="00CF71DC"/>
    <w:rsid w:val="00D51FD4"/>
    <w:rsid w:val="00D65357"/>
    <w:rsid w:val="00D66AD7"/>
    <w:rsid w:val="00DF7EE8"/>
    <w:rsid w:val="00E25414"/>
    <w:rsid w:val="00E36B76"/>
    <w:rsid w:val="00E5045F"/>
    <w:rsid w:val="00E5145A"/>
    <w:rsid w:val="00E57751"/>
    <w:rsid w:val="00E6383C"/>
    <w:rsid w:val="00E7438F"/>
    <w:rsid w:val="00E87E95"/>
    <w:rsid w:val="00EB3DDB"/>
    <w:rsid w:val="00ED027C"/>
    <w:rsid w:val="00F33872"/>
    <w:rsid w:val="00F7751F"/>
    <w:rsid w:val="036887BD"/>
    <w:rsid w:val="03A7E89E"/>
    <w:rsid w:val="03E14D26"/>
    <w:rsid w:val="0410952B"/>
    <w:rsid w:val="050D3DFA"/>
    <w:rsid w:val="0515D05E"/>
    <w:rsid w:val="06264783"/>
    <w:rsid w:val="08FE3F04"/>
    <w:rsid w:val="0AC05B8C"/>
    <w:rsid w:val="0C615DF4"/>
    <w:rsid w:val="0DBB7380"/>
    <w:rsid w:val="0FB99112"/>
    <w:rsid w:val="10A718D7"/>
    <w:rsid w:val="122BA145"/>
    <w:rsid w:val="13B6C855"/>
    <w:rsid w:val="1552013E"/>
    <w:rsid w:val="17395A45"/>
    <w:rsid w:val="192F0044"/>
    <w:rsid w:val="1A2D91BD"/>
    <w:rsid w:val="1A8C15B0"/>
    <w:rsid w:val="1B658267"/>
    <w:rsid w:val="1C66B182"/>
    <w:rsid w:val="1DA61883"/>
    <w:rsid w:val="1E7F07F1"/>
    <w:rsid w:val="1FCA5807"/>
    <w:rsid w:val="2016BA74"/>
    <w:rsid w:val="20303BA5"/>
    <w:rsid w:val="21D311BC"/>
    <w:rsid w:val="22E1D063"/>
    <w:rsid w:val="243D53DD"/>
    <w:rsid w:val="251EB887"/>
    <w:rsid w:val="26708C0C"/>
    <w:rsid w:val="28CF5302"/>
    <w:rsid w:val="29956A9C"/>
    <w:rsid w:val="2B316403"/>
    <w:rsid w:val="2B94F365"/>
    <w:rsid w:val="2C856A10"/>
    <w:rsid w:val="2F23FEAD"/>
    <w:rsid w:val="306AB79F"/>
    <w:rsid w:val="30830D1D"/>
    <w:rsid w:val="32395076"/>
    <w:rsid w:val="32C16002"/>
    <w:rsid w:val="32D62594"/>
    <w:rsid w:val="33B3800A"/>
    <w:rsid w:val="34AF96D6"/>
    <w:rsid w:val="34B20A98"/>
    <w:rsid w:val="34F3B061"/>
    <w:rsid w:val="370BEC16"/>
    <w:rsid w:val="373BB0B7"/>
    <w:rsid w:val="37572397"/>
    <w:rsid w:val="379DC59E"/>
    <w:rsid w:val="3BBC9B5D"/>
    <w:rsid w:val="3BDD5C87"/>
    <w:rsid w:val="3F9E109A"/>
    <w:rsid w:val="4087BA81"/>
    <w:rsid w:val="40DA9315"/>
    <w:rsid w:val="41B8E0F2"/>
    <w:rsid w:val="424C806C"/>
    <w:rsid w:val="43AE68CF"/>
    <w:rsid w:val="448118C0"/>
    <w:rsid w:val="458829F3"/>
    <w:rsid w:val="46B789F6"/>
    <w:rsid w:val="46EC0396"/>
    <w:rsid w:val="47355D1B"/>
    <w:rsid w:val="48232FB9"/>
    <w:rsid w:val="48F63DD7"/>
    <w:rsid w:val="49B22DE8"/>
    <w:rsid w:val="4AE93C1A"/>
    <w:rsid w:val="4F7D1700"/>
    <w:rsid w:val="53977E31"/>
    <w:rsid w:val="56AC3302"/>
    <w:rsid w:val="56E81891"/>
    <w:rsid w:val="5812E7B4"/>
    <w:rsid w:val="58990A16"/>
    <w:rsid w:val="5BC1A7E6"/>
    <w:rsid w:val="5D165F35"/>
    <w:rsid w:val="5DD168B9"/>
    <w:rsid w:val="5E68A133"/>
    <w:rsid w:val="5EA1B521"/>
    <w:rsid w:val="5F1EB2B6"/>
    <w:rsid w:val="5F3AE598"/>
    <w:rsid w:val="5F9C2B17"/>
    <w:rsid w:val="6313D7DA"/>
    <w:rsid w:val="635CF9E6"/>
    <w:rsid w:val="6387F981"/>
    <w:rsid w:val="63915E2A"/>
    <w:rsid w:val="64CA7C0F"/>
    <w:rsid w:val="65BE028A"/>
    <w:rsid w:val="66B1BF34"/>
    <w:rsid w:val="66F11177"/>
    <w:rsid w:val="68B920B1"/>
    <w:rsid w:val="69DFAE3E"/>
    <w:rsid w:val="6A88ED1E"/>
    <w:rsid w:val="6AF8A82B"/>
    <w:rsid w:val="6B9D66E4"/>
    <w:rsid w:val="6C479512"/>
    <w:rsid w:val="6C9C3341"/>
    <w:rsid w:val="707F239B"/>
    <w:rsid w:val="71F67D76"/>
    <w:rsid w:val="7205E543"/>
    <w:rsid w:val="7207A5EB"/>
    <w:rsid w:val="73B815BA"/>
    <w:rsid w:val="752DA634"/>
    <w:rsid w:val="7627B11B"/>
    <w:rsid w:val="789860FE"/>
    <w:rsid w:val="79ED22BE"/>
    <w:rsid w:val="7BBCF38F"/>
    <w:rsid w:val="7E844069"/>
    <w:rsid w:val="7EB0A688"/>
    <w:rsid w:val="7EB31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D0F5"/>
  <w15:docId w15:val="{5E4D4B0D-143B-433C-9B83-CA9C4989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4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36B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138B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E5045F"/>
    <w:pPr>
      <w:keepNext/>
      <w:jc w:val="center"/>
      <w:outlineLvl w:val="5"/>
    </w:pPr>
    <w:rPr>
      <w:rFonts w:ascii="Rockwell" w:hAnsi="Rockwel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357"/>
    <w:rPr>
      <w:color w:val="0000FF"/>
      <w:u w:val="single"/>
    </w:rPr>
  </w:style>
  <w:style w:type="paragraph" w:styleId="NormalWeb">
    <w:name w:val="Normal (Web)"/>
    <w:basedOn w:val="Normal"/>
    <w:uiPriority w:val="99"/>
    <w:semiHidden/>
    <w:unhideWhenUsed/>
    <w:rsid w:val="00D6535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D6535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535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6535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535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65357"/>
    <w:rPr>
      <w:rFonts w:ascii="Tahoma" w:hAnsi="Tahoma" w:cs="Tahoma"/>
      <w:sz w:val="16"/>
      <w:szCs w:val="16"/>
    </w:rPr>
  </w:style>
  <w:style w:type="character" w:customStyle="1" w:styleId="BalloonTextChar">
    <w:name w:val="Balloon Text Char"/>
    <w:basedOn w:val="DefaultParagraphFont"/>
    <w:link w:val="BalloonText"/>
    <w:uiPriority w:val="99"/>
    <w:semiHidden/>
    <w:rsid w:val="00D65357"/>
    <w:rPr>
      <w:rFonts w:ascii="Tahoma" w:hAnsi="Tahoma" w:cs="Tahoma"/>
      <w:sz w:val="16"/>
      <w:szCs w:val="16"/>
    </w:rPr>
  </w:style>
  <w:style w:type="character" w:customStyle="1" w:styleId="Heading6Char">
    <w:name w:val="Heading 6 Char"/>
    <w:basedOn w:val="DefaultParagraphFont"/>
    <w:link w:val="Heading6"/>
    <w:rsid w:val="00E5045F"/>
    <w:rPr>
      <w:rFonts w:ascii="Rockwell" w:eastAsia="Times New Roman" w:hAnsi="Rockwell" w:cs="Times New Roman"/>
      <w:b/>
      <w:bCs/>
      <w:sz w:val="28"/>
      <w:szCs w:val="24"/>
    </w:rPr>
  </w:style>
  <w:style w:type="paragraph" w:styleId="Footer">
    <w:name w:val="footer"/>
    <w:basedOn w:val="Normal"/>
    <w:link w:val="FooterChar"/>
    <w:semiHidden/>
    <w:rsid w:val="00E5045F"/>
    <w:pPr>
      <w:tabs>
        <w:tab w:val="center" w:pos="4320"/>
        <w:tab w:val="right" w:pos="8640"/>
      </w:tabs>
    </w:pPr>
  </w:style>
  <w:style w:type="character" w:customStyle="1" w:styleId="FooterChar">
    <w:name w:val="Footer Char"/>
    <w:basedOn w:val="DefaultParagraphFont"/>
    <w:link w:val="Footer"/>
    <w:semiHidden/>
    <w:rsid w:val="00E5045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138B3"/>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36B7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36B76"/>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5552">
      <w:bodyDiv w:val="1"/>
      <w:marLeft w:val="0"/>
      <w:marRight w:val="0"/>
      <w:marTop w:val="0"/>
      <w:marBottom w:val="0"/>
      <w:divBdr>
        <w:top w:val="none" w:sz="0" w:space="0" w:color="auto"/>
        <w:left w:val="none" w:sz="0" w:space="0" w:color="auto"/>
        <w:bottom w:val="none" w:sz="0" w:space="0" w:color="auto"/>
        <w:right w:val="none" w:sz="0" w:space="0" w:color="auto"/>
      </w:divBdr>
    </w:div>
    <w:div w:id="1139154427">
      <w:bodyDiv w:val="1"/>
      <w:marLeft w:val="0"/>
      <w:marRight w:val="0"/>
      <w:marTop w:val="0"/>
      <w:marBottom w:val="0"/>
      <w:divBdr>
        <w:top w:val="none" w:sz="0" w:space="0" w:color="auto"/>
        <w:left w:val="none" w:sz="0" w:space="0" w:color="auto"/>
        <w:bottom w:val="none" w:sz="0" w:space="0" w:color="auto"/>
        <w:right w:val="none" w:sz="0" w:space="0" w:color="auto"/>
      </w:divBdr>
    </w:div>
    <w:div w:id="1343897227">
      <w:bodyDiv w:val="1"/>
      <w:marLeft w:val="0"/>
      <w:marRight w:val="0"/>
      <w:marTop w:val="0"/>
      <w:marBottom w:val="0"/>
      <w:divBdr>
        <w:top w:val="none" w:sz="0" w:space="0" w:color="auto"/>
        <w:left w:val="none" w:sz="0" w:space="0" w:color="auto"/>
        <w:bottom w:val="none" w:sz="0" w:space="0" w:color="auto"/>
        <w:right w:val="none" w:sz="0" w:space="0" w:color="auto"/>
      </w:divBdr>
    </w:div>
    <w:div w:id="1858621339">
      <w:bodyDiv w:val="1"/>
      <w:marLeft w:val="0"/>
      <w:marRight w:val="0"/>
      <w:marTop w:val="0"/>
      <w:marBottom w:val="0"/>
      <w:divBdr>
        <w:top w:val="none" w:sz="0" w:space="0" w:color="auto"/>
        <w:left w:val="none" w:sz="0" w:space="0" w:color="auto"/>
        <w:bottom w:val="none" w:sz="0" w:space="0" w:color="auto"/>
        <w:right w:val="none" w:sz="0" w:space="0" w:color="auto"/>
      </w:divBdr>
      <w:divsChild>
        <w:div w:id="2069985987">
          <w:marLeft w:val="0"/>
          <w:marRight w:val="0"/>
          <w:marTop w:val="0"/>
          <w:marBottom w:val="0"/>
          <w:divBdr>
            <w:top w:val="none" w:sz="0" w:space="0" w:color="auto"/>
            <w:left w:val="none" w:sz="0" w:space="0" w:color="auto"/>
            <w:bottom w:val="none" w:sz="0" w:space="0" w:color="auto"/>
            <w:right w:val="none" w:sz="0" w:space="0" w:color="auto"/>
          </w:divBdr>
        </w:div>
        <w:div w:id="1250580839">
          <w:marLeft w:val="0"/>
          <w:marRight w:val="0"/>
          <w:marTop w:val="0"/>
          <w:marBottom w:val="0"/>
          <w:divBdr>
            <w:top w:val="none" w:sz="0" w:space="0" w:color="auto"/>
            <w:left w:val="none" w:sz="0" w:space="0" w:color="auto"/>
            <w:bottom w:val="none" w:sz="0" w:space="0" w:color="auto"/>
            <w:right w:val="none" w:sz="0" w:space="0" w:color="auto"/>
          </w:divBdr>
          <w:divsChild>
            <w:div w:id="7895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cjc.org/wp-content/uploads/Policy-on-Distance-Education-and-on-Correspondence-Education.pdf" TargetMode="External"/><Relationship Id="rId13" Type="http://schemas.openxmlformats.org/officeDocument/2006/relationships/hyperlink" Target="https://cvc.edu/wp-content/uploads/2018/10/CVC-OEI-Course-Design-Rubric-rev.10.2018.pdf" TargetMode="External"/><Relationship Id="rId3" Type="http://schemas.openxmlformats.org/officeDocument/2006/relationships/settings" Target="settings.xml"/><Relationship Id="R095358fef5b3455e" Type="http://schemas.microsoft.com/office/2016/09/relationships/commentsIds" Target="commentsIds.xml"/><Relationship Id="rId7" Type="http://schemas.openxmlformats.org/officeDocument/2006/relationships/hyperlink" Target="https://www.asccc.org/content/title-5-and-distance-education-separate-course-review-enough" TargetMode="External"/><Relationship Id="rId12" Type="http://schemas.openxmlformats.org/officeDocument/2006/relationships/hyperlink" Target="https://www.cde.ca.gov/ds/ed/dataprivacyferpa.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govt.westlaw.com/calregs/Document/I1E35BBE3B57046F0ABD056DC4E8F0E73?viewType=FullText&amp;originationContext=documenttoc&amp;transitionType=CategoryPageItem&amp;contextData=(sc.Default)&amp;bhcp=1" TargetMode="External"/><Relationship Id="rId11" Type="http://schemas.openxmlformats.org/officeDocument/2006/relationships/hyperlink" Target="https://www2.ed.gov/policy/gen/guid/fpco/ferpa/students.html" TargetMode="External"/><Relationship Id="rId5" Type="http://schemas.openxmlformats.org/officeDocument/2006/relationships/hyperlink" Target="https://www.govinfo.gov/content/pkg/CFR-2011-title34-vol3/pdf/CFR-2011-title34-vol3-part600.pdf" TargetMode="External"/><Relationship Id="rId15" Type="http://schemas.openxmlformats.org/officeDocument/2006/relationships/hyperlink" Target="https://www.mtsac.edu/governance/trustees/apbp/AP4105.pdf" TargetMode="External"/><Relationship Id="rId10" Type="http://schemas.openxmlformats.org/officeDocument/2006/relationships/hyperlink" Target="https://www.asccc.org/sites/default/files/OE%20Paper%20Final%203.12.18.pdf" TargetMode="External"/><Relationship Id="rId4" Type="http://schemas.openxmlformats.org/officeDocument/2006/relationships/webSettings" Target="webSettings.xml"/><Relationship Id="rId9" Type="http://schemas.openxmlformats.org/officeDocument/2006/relationships/hyperlink" Target="https://accjc.org/wp-content/uploads/Guide-to-Institutional-Self-Evaluation-Improvement-and-Peer-Review.pdf" TargetMode="External"/><Relationship Id="rId14" Type="http://schemas.openxmlformats.org/officeDocument/2006/relationships/hyperlink" Target="https://www.westga.edu/~distance/ojdla/summer32/roblyer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Impara, Carol</cp:lastModifiedBy>
  <cp:revision>4</cp:revision>
  <cp:lastPrinted>2017-10-05T21:59:00Z</cp:lastPrinted>
  <dcterms:created xsi:type="dcterms:W3CDTF">2019-10-17T18:08:00Z</dcterms:created>
  <dcterms:modified xsi:type="dcterms:W3CDTF">2019-10-17T18:09:00Z</dcterms:modified>
</cp:coreProperties>
</file>